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color w:val="auto"/>
          <w:sz w:val="44"/>
          <w:szCs w:val="44"/>
        </w:rPr>
      </w:pPr>
      <w:r>
        <w:rPr>
          <w:rFonts w:hint="eastAsia" w:ascii="方正小标宋_GBK" w:hAnsi="宋体" w:eastAsia="方正小标宋_GBK"/>
          <w:color w:val="auto"/>
          <w:sz w:val="44"/>
          <w:szCs w:val="44"/>
        </w:rPr>
        <w:t>库尔勒市友好街道办事处</w:t>
      </w:r>
    </w:p>
    <w:p>
      <w:pPr>
        <w:jc w:val="center"/>
        <w:rPr>
          <w:rFonts w:hint="eastAsia" w:ascii="方正小标宋_GBK" w:hAnsi="宋体" w:eastAsia="方正小标宋_GBK"/>
          <w:color w:val="auto"/>
          <w:sz w:val="44"/>
          <w:szCs w:val="44"/>
        </w:rPr>
      </w:pPr>
      <w:r>
        <w:rPr>
          <w:rFonts w:hint="eastAsia" w:ascii="方正小标宋_GBK" w:hAnsi="宋体" w:eastAsia="方正小标宋_GBK"/>
          <w:color w:val="auto"/>
          <w:sz w:val="44"/>
          <w:szCs w:val="44"/>
        </w:rPr>
        <w:t xml:space="preserve"> 2023年度部门决算</w:t>
      </w:r>
    </w:p>
    <w:p>
      <w:pPr>
        <w:jc w:val="center"/>
        <w:rPr>
          <w:rFonts w:hint="eastAsia" w:ascii="方正小标宋_GBK" w:hAnsi="宋体" w:eastAsia="方正小标宋_GBK"/>
          <w:color w:val="auto"/>
          <w:sz w:val="44"/>
          <w:szCs w:val="44"/>
        </w:rPr>
      </w:pPr>
      <w:r>
        <w:rPr>
          <w:rFonts w:hint="eastAsia" w:ascii="方正小标宋_GBK" w:hAnsi="宋体" w:eastAsia="方正小标宋_GBK"/>
          <w:color w:val="auto"/>
          <w:sz w:val="44"/>
          <w:szCs w:val="44"/>
        </w:rPr>
        <w:t>公开说明</w:t>
      </w:r>
    </w:p>
    <w:p>
      <w:pPr>
        <w:jc w:val="center"/>
        <w:rPr>
          <w:rFonts w:hint="eastAsia" w:ascii="仿宋_GB2312" w:hAnsi="仿宋_GB2312" w:eastAsia="仿宋_GB2312" w:cs="仿宋_GB2312"/>
          <w:b/>
          <w:color w:val="auto"/>
          <w:kern w:val="0"/>
          <w:sz w:val="36"/>
          <w:szCs w:val="36"/>
        </w:rPr>
        <w:sectPr>
          <w:footerReference r:id="rId3" w:type="default"/>
          <w:pgSz w:w="11906" w:h="16838"/>
          <w:pgMar w:top="1440" w:right="1800" w:bottom="1440" w:left="1800" w:header="851" w:footer="992" w:gutter="0"/>
          <w:pgNumType w:start="0"/>
          <w:cols w:space="720" w:num="1"/>
          <w:docGrid w:type="lines" w:linePitch="312" w:charSpace="0"/>
        </w:sectPr>
      </w:pPr>
    </w:p>
    <w:p>
      <w:pPr>
        <w:jc w:val="center"/>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
          <w:color w:val="auto"/>
          <w:kern w:val="0"/>
          <w:sz w:val="36"/>
          <w:szCs w:val="36"/>
        </w:rPr>
        <w:t>目  录</w:t>
      </w:r>
    </w:p>
    <w:p>
      <w:pPr>
        <w:pStyle w:val="7"/>
        <w:tabs>
          <w:tab w:val="right" w:pos="8306"/>
        </w:tabs>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TOC \o "1-3" \n  \h \u </w:instrText>
      </w:r>
      <w:r>
        <w:rPr>
          <w:rFonts w:hint="eastAsia" w:ascii="仿宋_GB2312" w:hAnsi="仿宋_GB2312" w:eastAsia="仿宋_GB2312" w:cs="仿宋_GB2312"/>
          <w:color w:val="auto"/>
          <w:sz w:val="32"/>
          <w:szCs w:val="32"/>
        </w:rPr>
        <w:fldChar w:fldCharType="separate"/>
      </w:r>
      <w:r>
        <w:rPr>
          <w:color w:val="auto"/>
        </w:rPr>
        <w:fldChar w:fldCharType="begin"/>
      </w:r>
      <w:r>
        <w:rPr>
          <w:color w:val="auto"/>
        </w:rPr>
        <w:instrText xml:space="preserve"> HYPERLINK \l "_Toc32314" </w:instrText>
      </w:r>
      <w:r>
        <w:rPr>
          <w:color w:val="auto"/>
        </w:rPr>
        <w:fldChar w:fldCharType="separate"/>
      </w:r>
      <w:r>
        <w:rPr>
          <w:rFonts w:hint="eastAsia" w:ascii="仿宋_GB2312" w:hAnsi="仿宋_GB2312" w:eastAsia="仿宋_GB2312" w:cs="仿宋_GB2312"/>
          <w:b/>
          <w:bCs/>
          <w:color w:val="auto"/>
          <w:sz w:val="32"/>
          <w:szCs w:val="32"/>
        </w:rPr>
        <w:t>第一部分 部门概况</w:t>
      </w:r>
      <w:r>
        <w:rPr>
          <w:rFonts w:hint="eastAsia" w:ascii="仿宋_GB2312" w:hAnsi="仿宋_GB2312" w:eastAsia="仿宋_GB2312" w:cs="仿宋_GB2312"/>
          <w:b/>
          <w:bCs/>
          <w:color w:val="auto"/>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"_Toc30567" </w:instrText>
      </w:r>
      <w:r>
        <w:rPr>
          <w:color w:val="auto"/>
        </w:rPr>
        <w:fldChar w:fldCharType="separate"/>
      </w:r>
      <w:r>
        <w:rPr>
          <w:rFonts w:hint="eastAsia" w:ascii="仿宋_GB2312" w:hAnsi="仿宋_GB2312" w:eastAsia="仿宋_GB2312" w:cs="仿宋_GB2312"/>
          <w:bCs/>
          <w:color w:val="auto"/>
          <w:kern w:val="0"/>
          <w:sz w:val="32"/>
          <w:szCs w:val="32"/>
        </w:rPr>
        <w:t>一、主要职能</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"_Toc2151" </w:instrText>
      </w:r>
      <w:r>
        <w:rPr>
          <w:color w:val="auto"/>
        </w:rPr>
        <w:fldChar w:fldCharType="separate"/>
      </w:r>
      <w:r>
        <w:rPr>
          <w:rFonts w:hint="eastAsia" w:ascii="仿宋_GB2312" w:hAnsi="仿宋_GB2312" w:eastAsia="仿宋_GB2312" w:cs="仿宋_GB2312"/>
          <w:bCs/>
          <w:color w:val="auto"/>
          <w:kern w:val="0"/>
          <w:sz w:val="32"/>
          <w:szCs w:val="32"/>
        </w:rPr>
        <w:t>二、机构设置及人员情况</w:t>
      </w:r>
      <w:r>
        <w:rPr>
          <w:rFonts w:hint="eastAsia" w:ascii="仿宋_GB2312" w:hAnsi="仿宋_GB2312" w:eastAsia="仿宋_GB2312" w:cs="仿宋_GB2312"/>
          <w:bCs/>
          <w:color w:val="auto"/>
          <w:kern w:val="0"/>
          <w:sz w:val="32"/>
          <w:szCs w:val="32"/>
        </w:rPr>
        <w:fldChar w:fldCharType="end"/>
      </w:r>
    </w:p>
    <w:p>
      <w:pPr>
        <w:pStyle w:val="7"/>
        <w:tabs>
          <w:tab w:val="right" w:pos="8306"/>
        </w:tabs>
        <w:rPr>
          <w:rFonts w:hint="eastAsia" w:ascii="仿宋_GB2312" w:hAnsi="仿宋_GB2312" w:eastAsia="仿宋_GB2312" w:cs="仿宋_GB2312"/>
          <w:b/>
          <w:bCs/>
          <w:color w:val="auto"/>
          <w:sz w:val="32"/>
          <w:szCs w:val="32"/>
        </w:rPr>
      </w:pPr>
      <w:r>
        <w:rPr>
          <w:color w:val="auto"/>
        </w:rPr>
        <w:fldChar w:fldCharType="begin"/>
      </w:r>
      <w:r>
        <w:rPr>
          <w:color w:val="auto"/>
        </w:rPr>
        <w:instrText xml:space="preserve"> HYPERLINK \l "_Toc29374" </w:instrText>
      </w:r>
      <w:r>
        <w:rPr>
          <w:color w:val="auto"/>
        </w:rPr>
        <w:fldChar w:fldCharType="separate"/>
      </w:r>
      <w:r>
        <w:rPr>
          <w:rFonts w:hint="eastAsia" w:ascii="仿宋_GB2312" w:hAnsi="仿宋_GB2312" w:eastAsia="仿宋_GB2312" w:cs="仿宋_GB2312"/>
          <w:b/>
          <w:bCs/>
          <w:color w:val="auto"/>
          <w:sz w:val="32"/>
          <w:szCs w:val="32"/>
        </w:rPr>
        <w:t>第二部分 部门决算情况说明</w:t>
      </w:r>
      <w:r>
        <w:rPr>
          <w:rFonts w:hint="eastAsia" w:ascii="仿宋_GB2312" w:hAnsi="仿宋_GB2312" w:eastAsia="仿宋_GB2312" w:cs="仿宋_GB2312"/>
          <w:b/>
          <w:bCs/>
          <w:color w:val="auto"/>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"_Toc25314" </w:instrText>
      </w:r>
      <w:r>
        <w:rPr>
          <w:color w:val="auto"/>
        </w:rPr>
        <w:fldChar w:fldCharType="separate"/>
      </w:r>
      <w:r>
        <w:rPr>
          <w:rFonts w:hint="eastAsia" w:ascii="仿宋_GB2312" w:hAnsi="仿宋_GB2312" w:eastAsia="仿宋_GB2312" w:cs="仿宋_GB2312"/>
          <w:bCs/>
          <w:color w:val="auto"/>
          <w:kern w:val="0"/>
          <w:sz w:val="32"/>
          <w:szCs w:val="32"/>
        </w:rPr>
        <w:t>一、收入支出决算总体情况说明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"_Toc12142" </w:instrText>
      </w:r>
      <w:r>
        <w:rPr>
          <w:color w:val="auto"/>
        </w:rPr>
        <w:fldChar w:fldCharType="separate"/>
      </w:r>
      <w:r>
        <w:rPr>
          <w:rFonts w:hint="eastAsia" w:ascii="仿宋_GB2312" w:hAnsi="仿宋_GB2312" w:eastAsia="仿宋_GB2312" w:cs="仿宋_GB2312"/>
          <w:bCs/>
          <w:color w:val="auto"/>
          <w:kern w:val="0"/>
          <w:sz w:val="32"/>
          <w:szCs w:val="32"/>
        </w:rPr>
        <w:t>二、收入决算情况说明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"_Toc13201" </w:instrText>
      </w:r>
      <w:r>
        <w:rPr>
          <w:color w:val="auto"/>
        </w:rPr>
        <w:fldChar w:fldCharType="separate"/>
      </w:r>
      <w:r>
        <w:rPr>
          <w:rFonts w:hint="eastAsia" w:ascii="仿宋_GB2312" w:hAnsi="仿宋_GB2312" w:eastAsia="仿宋_GB2312" w:cs="仿宋_GB2312"/>
          <w:bCs/>
          <w:color w:val="auto"/>
          <w:kern w:val="0"/>
          <w:sz w:val="32"/>
          <w:szCs w:val="32"/>
        </w:rPr>
        <w:t>三、支出决算情况说明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"_Toc26564"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四、财政拨款收入支出决算总体情况说明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"_Toc20360"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"_Toc30870"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"_Toc21518"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八、政府性基金预算财政拨款收入支出决算情况说明</w:t>
      </w:r>
      <w:r>
        <w:rPr>
          <w:rFonts w:hint="eastAsia" w:ascii="仿宋_GB2312" w:hAnsi="仿宋_GB2312" w:eastAsia="仿宋_GB2312" w:cs="仿宋_GB2312"/>
          <w:bCs/>
          <w:color w:val="auto"/>
          <w:kern w:val="0"/>
          <w:sz w:val="32"/>
          <w:szCs w:val="32"/>
        </w:rPr>
        <w:fldChar w:fldCharType="end"/>
      </w:r>
    </w:p>
    <w:p>
      <w:pPr>
        <w:rPr>
          <w:color w:val="auto"/>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九、国有资本经营预算财政拨款收入支出决算情况说明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"_Toc1235" </w:instrText>
      </w:r>
      <w:r>
        <w:rPr>
          <w:color w:val="auto"/>
        </w:rPr>
        <w:fldChar w:fldCharType="separate"/>
      </w:r>
      <w:r>
        <w:rPr>
          <w:rFonts w:hint="eastAsia" w:ascii="仿宋_GB2312" w:hAnsi="仿宋_GB2312" w:eastAsia="仿宋_GB2312" w:cs="仿宋_GB2312"/>
          <w:color w:val="auto"/>
          <w:sz w:val="32"/>
          <w:szCs w:val="32"/>
        </w:rPr>
        <w:t>十</w:t>
      </w:r>
      <w:r>
        <w:rPr>
          <w:rFonts w:hint="eastAsia" w:ascii="仿宋_GB2312" w:hAnsi="仿宋_GB2312" w:eastAsia="仿宋_GB2312" w:cs="仿宋_GB2312"/>
          <w:bCs/>
          <w:color w:val="auto"/>
          <w:kern w:val="0"/>
          <w:sz w:val="32"/>
          <w:szCs w:val="32"/>
        </w:rPr>
        <w:t>、其他重要事项的情况说明</w:t>
      </w:r>
      <w:r>
        <w:rPr>
          <w:rFonts w:hint="eastAsia" w:ascii="仿宋_GB2312" w:hAnsi="仿宋_GB2312" w:eastAsia="仿宋_GB2312" w:cs="仿宋_GB2312"/>
          <w:bCs/>
          <w:color w:val="auto"/>
          <w:kern w:val="0"/>
          <w:sz w:val="32"/>
          <w:szCs w:val="32"/>
        </w:rPr>
        <w:fldChar w:fldCharType="end"/>
      </w:r>
    </w:p>
    <w:p>
      <w:pPr>
        <w:pStyle w:val="4"/>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"_Toc14519" </w:instrText>
      </w:r>
      <w:r>
        <w:rPr>
          <w:color w:val="auto"/>
        </w:rPr>
        <w:fldChar w:fldCharType="separate"/>
      </w:r>
      <w:r>
        <w:rPr>
          <w:rFonts w:hint="eastAsia" w:ascii="仿宋_GB2312" w:hAnsi="仿宋_GB2312" w:eastAsia="仿宋_GB2312" w:cs="仿宋_GB2312"/>
          <w:color w:val="auto"/>
          <w:sz w:val="32"/>
          <w:szCs w:val="32"/>
        </w:rPr>
        <w:t>（一）机关运行经费支出情况</w:t>
      </w:r>
      <w:r>
        <w:rPr>
          <w:rFonts w:hint="eastAsia" w:ascii="仿宋_GB2312" w:hAnsi="仿宋_GB2312" w:eastAsia="仿宋_GB2312" w:cs="仿宋_GB2312"/>
          <w:color w:val="auto"/>
          <w:sz w:val="32"/>
          <w:szCs w:val="32"/>
        </w:rPr>
        <w:fldChar w:fldCharType="end"/>
      </w:r>
    </w:p>
    <w:p>
      <w:pPr>
        <w:pStyle w:val="4"/>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"_Toc227" </w:instrText>
      </w:r>
      <w:r>
        <w:rPr>
          <w:color w:val="auto"/>
        </w:rPr>
        <w:fldChar w:fldCharType="separate"/>
      </w:r>
      <w:r>
        <w:rPr>
          <w:rFonts w:hint="eastAsia" w:ascii="仿宋_GB2312" w:hAnsi="仿宋_GB2312" w:eastAsia="仿宋_GB2312" w:cs="仿宋_GB2312"/>
          <w:color w:val="auto"/>
          <w:sz w:val="32"/>
          <w:szCs w:val="32"/>
        </w:rPr>
        <w:t>（二）政府采购情况</w:t>
      </w:r>
      <w:r>
        <w:rPr>
          <w:rFonts w:hint="eastAsia" w:ascii="仿宋_GB2312" w:hAnsi="仿宋_GB2312" w:eastAsia="仿宋_GB2312" w:cs="仿宋_GB2312"/>
          <w:color w:val="auto"/>
          <w:sz w:val="32"/>
          <w:szCs w:val="32"/>
        </w:rPr>
        <w:fldChar w:fldCharType="end"/>
      </w:r>
    </w:p>
    <w:p>
      <w:pPr>
        <w:pStyle w:val="4"/>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"_Toc8391" </w:instrText>
      </w:r>
      <w:r>
        <w:rPr>
          <w:color w:val="auto"/>
        </w:rPr>
        <w:fldChar w:fldCharType="separate"/>
      </w:r>
      <w:r>
        <w:rPr>
          <w:rFonts w:hint="eastAsia" w:ascii="仿宋_GB2312" w:hAnsi="仿宋_GB2312" w:eastAsia="仿宋_GB2312" w:cs="仿宋_GB2312"/>
          <w:color w:val="auto"/>
          <w:sz w:val="32"/>
          <w:szCs w:val="32"/>
        </w:rPr>
        <w:t>（三）国有资产占用情况说明</w:t>
      </w:r>
      <w:r>
        <w:rPr>
          <w:rFonts w:hint="eastAsia" w:ascii="仿宋_GB2312" w:hAnsi="仿宋_GB2312" w:eastAsia="仿宋_GB2312" w:cs="仿宋_GB2312"/>
          <w:color w:val="auto"/>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"_Toc11283" </w:instrText>
      </w:r>
      <w:r>
        <w:rPr>
          <w:color w:val="auto"/>
        </w:rPr>
        <w:fldChar w:fldCharType="separate"/>
      </w:r>
      <w:r>
        <w:rPr>
          <w:rFonts w:hint="eastAsia" w:ascii="仿宋_GB2312" w:hAnsi="仿宋_GB2312" w:eastAsia="仿宋_GB2312" w:cs="仿宋_GB2312"/>
          <w:bCs/>
          <w:color w:val="auto"/>
          <w:kern w:val="0"/>
          <w:sz w:val="32"/>
          <w:szCs w:val="32"/>
        </w:rPr>
        <w:t>十一、预算绩效的情况说明</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十二、其他需说明的事项</w:t>
      </w:r>
    </w:p>
    <w:p>
      <w:pPr>
        <w:pStyle w:val="7"/>
        <w:tabs>
          <w:tab w:val="right" w:pos="8306"/>
        </w:tabs>
        <w:rPr>
          <w:rFonts w:hint="eastAsia" w:ascii="仿宋_GB2312" w:hAnsi="仿宋_GB2312" w:eastAsia="仿宋_GB2312" w:cs="仿宋_GB2312"/>
          <w:b/>
          <w:bCs/>
          <w:color w:val="auto"/>
          <w:sz w:val="32"/>
          <w:szCs w:val="32"/>
        </w:rPr>
      </w:pPr>
      <w:r>
        <w:rPr>
          <w:color w:val="auto"/>
        </w:rPr>
        <w:fldChar w:fldCharType="begin"/>
      </w:r>
      <w:r>
        <w:rPr>
          <w:color w:val="auto"/>
        </w:rPr>
        <w:instrText xml:space="preserve"> HYPERLINK \l "_Toc3250" </w:instrText>
      </w:r>
      <w:r>
        <w:rPr>
          <w:color w:val="auto"/>
        </w:rPr>
        <w:fldChar w:fldCharType="separate"/>
      </w:r>
      <w:r>
        <w:rPr>
          <w:rFonts w:hint="eastAsia" w:ascii="仿宋_GB2312" w:hAnsi="仿宋_GB2312" w:eastAsia="仿宋_GB2312" w:cs="仿宋_GB2312"/>
          <w:b/>
          <w:bCs/>
          <w:color w:val="auto"/>
          <w:sz w:val="32"/>
          <w:szCs w:val="32"/>
        </w:rPr>
        <w:t>第三部分 专业名词解释</w:t>
      </w:r>
      <w:r>
        <w:rPr>
          <w:rFonts w:hint="eastAsia" w:ascii="仿宋_GB2312" w:hAnsi="仿宋_GB2312" w:eastAsia="仿宋_GB2312" w:cs="仿宋_GB2312"/>
          <w:b/>
          <w:bCs/>
          <w:color w:val="auto"/>
          <w:sz w:val="32"/>
          <w:szCs w:val="32"/>
        </w:rPr>
        <w:fldChar w:fldCharType="end"/>
      </w:r>
    </w:p>
    <w:p>
      <w:pPr>
        <w:pStyle w:val="7"/>
        <w:tabs>
          <w:tab w:val="right" w:pos="8306"/>
        </w:tabs>
        <w:rPr>
          <w:rFonts w:hint="eastAsia" w:ascii="仿宋_GB2312" w:hAnsi="仿宋_GB2312" w:eastAsia="仿宋_GB2312" w:cs="仿宋_GB2312"/>
          <w:b/>
          <w:bCs/>
          <w:color w:val="auto"/>
          <w:sz w:val="32"/>
          <w:szCs w:val="32"/>
        </w:rPr>
      </w:pPr>
      <w:r>
        <w:rPr>
          <w:color w:val="auto"/>
        </w:rPr>
        <w:fldChar w:fldCharType="begin"/>
      </w:r>
      <w:r>
        <w:rPr>
          <w:color w:val="auto"/>
        </w:rPr>
        <w:instrText xml:space="preserve"> HYPERLINK \l "_Toc22784" </w:instrText>
      </w:r>
      <w:r>
        <w:rPr>
          <w:color w:val="auto"/>
        </w:rPr>
        <w:fldChar w:fldCharType="separate"/>
      </w:r>
      <w:r>
        <w:rPr>
          <w:rFonts w:hint="eastAsia" w:ascii="仿宋_GB2312" w:hAnsi="仿宋_GB2312" w:eastAsia="仿宋_GB2312" w:cs="仿宋_GB2312"/>
          <w:b/>
          <w:bCs/>
          <w:color w:val="auto"/>
          <w:sz w:val="32"/>
          <w:szCs w:val="32"/>
        </w:rPr>
        <w:t>第四部分 部门决算报表（见附表）</w:t>
      </w:r>
      <w:r>
        <w:rPr>
          <w:rFonts w:hint="eastAsia" w:ascii="仿宋_GB2312" w:hAnsi="仿宋_GB2312" w:eastAsia="仿宋_GB2312" w:cs="仿宋_GB2312"/>
          <w:b/>
          <w:bCs/>
          <w:color w:val="auto"/>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"_Toc2183" </w:instrText>
      </w:r>
      <w:r>
        <w:rPr>
          <w:color w:val="auto"/>
        </w:rPr>
        <w:fldChar w:fldCharType="separate"/>
      </w:r>
      <w:r>
        <w:rPr>
          <w:rFonts w:hint="eastAsia" w:ascii="仿宋_GB2312" w:hAnsi="仿宋_GB2312" w:eastAsia="仿宋_GB2312" w:cs="仿宋_GB2312"/>
          <w:bCs/>
          <w:color w:val="auto"/>
          <w:kern w:val="0"/>
          <w:sz w:val="32"/>
          <w:szCs w:val="32"/>
        </w:rPr>
        <w:t>一、《收入支出决算总表》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"_Toc24532" </w:instrText>
      </w:r>
      <w:r>
        <w:rPr>
          <w:color w:val="auto"/>
        </w:rPr>
        <w:fldChar w:fldCharType="separate"/>
      </w:r>
      <w:r>
        <w:rPr>
          <w:rFonts w:hint="eastAsia" w:ascii="仿宋_GB2312" w:hAnsi="仿宋_GB2312" w:eastAsia="仿宋_GB2312" w:cs="仿宋_GB2312"/>
          <w:bCs/>
          <w:color w:val="auto"/>
          <w:kern w:val="0"/>
          <w:sz w:val="32"/>
          <w:szCs w:val="32"/>
        </w:rPr>
        <w:t>二、《收入决算表》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"_Toc32434" </w:instrText>
      </w:r>
      <w:r>
        <w:rPr>
          <w:color w:val="auto"/>
        </w:rPr>
        <w:fldChar w:fldCharType="separate"/>
      </w:r>
      <w:r>
        <w:rPr>
          <w:rFonts w:hint="eastAsia" w:ascii="仿宋_GB2312" w:hAnsi="仿宋_GB2312" w:eastAsia="仿宋_GB2312" w:cs="仿宋_GB2312"/>
          <w:bCs/>
          <w:color w:val="auto"/>
          <w:kern w:val="0"/>
          <w:sz w:val="32"/>
          <w:szCs w:val="32"/>
        </w:rPr>
        <w:t>三、《支出决算表》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"_Toc28786"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"_Toc14869"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"_Toc8884"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"_Toc29106"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bCs/>
          <w:color w:val="auto"/>
          <w:kern w:val="0"/>
          <w:sz w:val="32"/>
          <w:szCs w:val="32"/>
        </w:rPr>
      </w:pPr>
      <w:r>
        <w:rPr>
          <w:color w:val="auto"/>
        </w:rPr>
        <w:fldChar w:fldCharType="begin"/>
      </w:r>
      <w:r>
        <w:rPr>
          <w:color w:val="auto"/>
        </w:rPr>
        <w:instrText xml:space="preserve"> HYPERLINK \l "_Toc7643"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八、《政府性基金预算财政拨款收入支出决算表》</w:t>
      </w:r>
      <w:r>
        <w:rPr>
          <w:rFonts w:hint="eastAsia" w:ascii="仿宋_GB2312" w:hAnsi="仿宋_GB2312" w:eastAsia="仿宋_GB2312" w:cs="仿宋_GB2312"/>
          <w:bCs/>
          <w:color w:val="auto"/>
          <w:kern w:val="0"/>
          <w:sz w:val="32"/>
          <w:szCs w:val="32"/>
        </w:rPr>
        <w:fldChar w:fldCharType="end"/>
      </w:r>
    </w:p>
    <w:p>
      <w:pPr>
        <w:pStyle w:val="8"/>
        <w:tabs>
          <w:tab w:val="right" w:pos="8306"/>
        </w:tabs>
        <w:ind w:left="0" w:leftChars="0"/>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九、《国有资本经营预算财政拨款收入支出决算表》</w:t>
      </w:r>
    </w:p>
    <w:p>
      <w:pPr>
        <w:rPr>
          <w:color w:val="auto"/>
        </w:rPr>
      </w:pPr>
      <w:r>
        <w:rPr>
          <w:rFonts w:hint="eastAsia" w:ascii="仿宋_GB2312" w:hAnsi="仿宋_GB2312" w:eastAsia="仿宋_GB2312" w:cs="仿宋_GB2312"/>
          <w:color w:val="auto"/>
          <w:sz w:val="32"/>
          <w:szCs w:val="32"/>
        </w:rPr>
        <w:fldChar w:fldCharType="end"/>
      </w:r>
    </w:p>
    <w:p>
      <w:pPr>
        <w:rPr>
          <w:rFonts w:ascii="仿宋_GB2312" w:eastAsia="仿宋_GB2312"/>
          <w:color w:val="auto"/>
          <w:sz w:val="32"/>
          <w:szCs w:val="32"/>
        </w:rPr>
      </w:pPr>
      <w:r>
        <w:rPr>
          <w:rFonts w:hint="eastAsia" w:ascii="仿宋_GB2312" w:eastAsia="仿宋_GB2312"/>
          <w:color w:val="auto"/>
          <w:sz w:val="32"/>
          <w:szCs w:val="32"/>
        </w:rPr>
        <w:br w:type="page"/>
      </w:r>
    </w:p>
    <w:p>
      <w:pPr>
        <w:jc w:val="center"/>
        <w:outlineLvl w:val="0"/>
        <w:rPr>
          <w:rFonts w:hint="eastAsia" w:ascii="黑体" w:hAnsi="黑体" w:eastAsia="黑体"/>
          <w:color w:val="auto"/>
          <w:sz w:val="32"/>
          <w:szCs w:val="32"/>
        </w:rPr>
      </w:pPr>
      <w:bookmarkStart w:id="0" w:name="_Toc24028"/>
      <w:bookmarkStart w:id="1" w:name="_Toc32314"/>
      <w:r>
        <w:rPr>
          <w:rFonts w:hint="eastAsia" w:ascii="黑体" w:hAnsi="黑体" w:eastAsia="黑体"/>
          <w:color w:val="auto"/>
          <w:sz w:val="32"/>
          <w:szCs w:val="32"/>
        </w:rPr>
        <w:t>第一部分 部门概况</w:t>
      </w:r>
      <w:bookmarkEnd w:id="0"/>
      <w:bookmarkEnd w:id="1"/>
    </w:p>
    <w:p>
      <w:pPr>
        <w:ind w:firstLine="640" w:firstLineChars="200"/>
        <w:outlineLvl w:val="1"/>
        <w:rPr>
          <w:rFonts w:hint="eastAsia" w:ascii="黑体" w:hAnsi="黑体" w:eastAsia="黑体" w:cs="宋体"/>
          <w:bCs/>
          <w:color w:val="auto"/>
          <w:kern w:val="0"/>
          <w:sz w:val="32"/>
          <w:szCs w:val="32"/>
        </w:rPr>
      </w:pPr>
      <w:bookmarkStart w:id="2" w:name="_Toc30738"/>
      <w:bookmarkStart w:id="3" w:name="_Toc30567"/>
      <w:r>
        <w:rPr>
          <w:rFonts w:hint="eastAsia" w:ascii="黑体" w:hAnsi="黑体" w:eastAsia="黑体" w:cs="宋体"/>
          <w:bCs/>
          <w:color w:val="auto"/>
          <w:kern w:val="0"/>
          <w:sz w:val="32"/>
          <w:szCs w:val="32"/>
        </w:rPr>
        <w:t>一、主要职能</w:t>
      </w:r>
      <w:bookmarkEnd w:id="2"/>
      <w:bookmarkEnd w:id="3"/>
    </w:p>
    <w:p>
      <w:pPr>
        <w:spacing w:line="600" w:lineRule="exact"/>
        <w:ind w:firstLine="640" w:firstLineChars="200"/>
        <w:outlineLvl w:val="1"/>
        <w:rPr>
          <w:rFonts w:hint="eastAsia" w:ascii="仿宋" w:hAnsi="仿宋" w:eastAsia="仿宋" w:cs="仿宋"/>
          <w:color w:val="auto"/>
          <w:sz w:val="32"/>
          <w:szCs w:val="32"/>
        </w:rPr>
      </w:pPr>
      <w:bookmarkStart w:id="4" w:name="_Toc31238"/>
      <w:bookmarkStart w:id="5" w:name="_Toc2151"/>
      <w:r>
        <w:rPr>
          <w:rFonts w:hint="eastAsia" w:ascii="仿宋" w:hAnsi="仿宋" w:eastAsia="仿宋" w:cs="仿宋"/>
          <w:color w:val="auto"/>
          <w:sz w:val="32"/>
          <w:szCs w:val="32"/>
        </w:rPr>
        <w:t xml:space="preserve">（一）贯彻执行党和国家的各项方针、政策、法令、法规上级人民政府关于街道工作方面的决定，制定具体的管理办法并组织实施。  </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 xml:space="preserve">（二）负责辖区内的社会管理综合治理，人民调解、法律服务工作，依照有关规定管理外来流动人员。 </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 xml:space="preserve">（三）开展社区服务、拥军优属工作，负责社区优抚、社会救济、社会福利工作，做好社区文化、科普、体育、教育工作。 </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 xml:space="preserve">（四）按照职责范围做好计划生育、爱国卫生、绿化、环境保护、劳动就业、安全生产等管理工作。    </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（五）配合有关部门做好防汛、防风、防火、防震、抢险和防灾救灾工作。</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（六）会同有关部门做好本辖区综治、维稳等工作；</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（七）负责辖区内市容市貌和环境卫生的日常管理工作，发动辖区单位和群众保护环境，开展爱国卫生运动；</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（八）指导和帮助居民委员会的工作，调解解决行政事务、社会管理和公共服务方面的问题，促进居民委员会的依法建设。</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（九）协助武装部门做好国防动员、民兵训练和公民服兵役工作；</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（十）维护老年人、妇女、青少年、儿童和残疾人的合法权益。</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 xml:space="preserve">（十一）动员和领导居民及各单位、各部门开展社区建设工作；制定并实施社区建设规划和年度计划； </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 xml:space="preserve">（十二）向市党委、市政府反映居民群众的意见和要求，办理人民群众的来信来访等事项。 </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（十三）做好疫情防控工作。</w:t>
      </w:r>
    </w:p>
    <w:p>
      <w:pPr>
        <w:spacing w:line="60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（十四）承办市党委、市政府交办的其他事项。</w:t>
      </w:r>
    </w:p>
    <w:p>
      <w:pPr>
        <w:ind w:firstLine="640" w:firstLineChars="200"/>
        <w:outlineLvl w:val="1"/>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二、机构设置及</w:t>
      </w:r>
      <w:bookmarkEnd w:id="4"/>
      <w:r>
        <w:rPr>
          <w:rFonts w:hint="eastAsia" w:ascii="黑体" w:hAnsi="黑体" w:eastAsia="黑体" w:cs="宋体"/>
          <w:bCs/>
          <w:color w:val="auto"/>
          <w:kern w:val="0"/>
          <w:sz w:val="32"/>
          <w:szCs w:val="32"/>
        </w:rPr>
        <w:t>人员情况</w:t>
      </w:r>
      <w:bookmarkEnd w:id="5"/>
    </w:p>
    <w:p>
      <w:pPr>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库尔勒市友好街道办事处2023年度，实有人数29人，其中：在职人员27人，离休人员0人，退休人员2人</w:t>
      </w:r>
    </w:p>
    <w:p>
      <w:pPr>
        <w:ind w:firstLine="640" w:firstLineChars="200"/>
        <w:rPr>
          <w:rFonts w:hint="eastAsia" w:ascii="仿宋_GB2312" w:hAnsi="宋体" w:eastAsia="仿宋_GB2312" w:cs="宋体"/>
          <w:color w:val="auto"/>
          <w:kern w:val="0"/>
          <w:sz w:val="32"/>
          <w:szCs w:val="32"/>
        </w:rPr>
        <w:sectPr>
          <w:footerReference r:id="rId4" w:type="default"/>
          <w:pgSz w:w="11906" w:h="16838"/>
          <w:pgMar w:top="1440" w:right="1800" w:bottom="1440" w:left="1800" w:header="851" w:footer="992" w:gutter="0"/>
          <w:pgNumType w:start="1"/>
          <w:cols w:space="720" w:num="1"/>
          <w:docGrid w:type="lines" w:linePitch="312" w:charSpace="0"/>
        </w:sectPr>
      </w:pPr>
      <w:r>
        <w:rPr>
          <w:rFonts w:hint="eastAsia" w:ascii="仿宋" w:hAnsi="仿宋" w:eastAsia="仿宋" w:cs="仿宋"/>
          <w:color w:val="auto"/>
          <w:sz w:val="32"/>
          <w:szCs w:val="32"/>
        </w:rPr>
        <w:t>库尔勒市友好街道办事处</w:t>
      </w:r>
      <w:r>
        <w:rPr>
          <w:rFonts w:hint="eastAsia" w:ascii="仿宋_GB2312" w:hAnsi="黑体" w:eastAsia="仿宋_GB2312" w:cs="宋体"/>
          <w:bCs/>
          <w:color w:val="auto"/>
          <w:kern w:val="0"/>
          <w:sz w:val="32"/>
          <w:szCs w:val="32"/>
        </w:rPr>
        <w:t>无下属预算单位，</w:t>
      </w:r>
      <w:r>
        <w:rPr>
          <w:rFonts w:hint="eastAsia" w:ascii="仿宋" w:hAnsi="仿宋" w:eastAsia="仿宋" w:cs="仿宋"/>
          <w:bCs/>
          <w:color w:val="auto"/>
          <w:kern w:val="0"/>
          <w:sz w:val="32"/>
          <w:szCs w:val="32"/>
        </w:rPr>
        <w:t>下设6个处室，分别是：综合执法办、综合协调办、党建办、综治网格化服务中心、社会退役军人服务中心、党群服务中心</w:t>
      </w:r>
      <w:r>
        <w:rPr>
          <w:rFonts w:hint="eastAsia" w:ascii="仿宋" w:hAnsi="仿宋" w:eastAsia="仿宋" w:cs="仿宋"/>
          <w:color w:val="auto"/>
          <w:kern w:val="0"/>
          <w:sz w:val="32"/>
          <w:szCs w:val="32"/>
        </w:rPr>
        <w:t>。</w:t>
      </w:r>
      <w:r>
        <w:rPr>
          <w:rFonts w:hint="eastAsia" w:ascii="仿宋_GB2312" w:hAnsi="宋体" w:eastAsia="仿宋_GB2312" w:cs="宋体"/>
          <w:color w:val="auto"/>
          <w:kern w:val="0"/>
          <w:sz w:val="32"/>
          <w:szCs w:val="32"/>
        </w:rPr>
        <w:t xml:space="preserve">    </w:t>
      </w:r>
    </w:p>
    <w:p>
      <w:pPr>
        <w:jc w:val="center"/>
        <w:outlineLvl w:val="0"/>
        <w:rPr>
          <w:rFonts w:hint="eastAsia" w:ascii="黑体" w:hAnsi="黑体" w:eastAsia="黑体"/>
          <w:color w:val="auto"/>
          <w:sz w:val="32"/>
          <w:szCs w:val="32"/>
        </w:rPr>
      </w:pPr>
      <w:bookmarkStart w:id="6" w:name="_Toc3092"/>
      <w:bookmarkStart w:id="7" w:name="_Toc29374"/>
      <w:r>
        <w:rPr>
          <w:rFonts w:hint="eastAsia" w:ascii="黑体" w:hAnsi="黑体" w:eastAsia="黑体"/>
          <w:color w:val="auto"/>
          <w:sz w:val="32"/>
          <w:szCs w:val="32"/>
        </w:rPr>
        <w:t>第二部分 部门决算情况说明</w:t>
      </w:r>
      <w:bookmarkEnd w:id="6"/>
      <w:bookmarkEnd w:id="7"/>
    </w:p>
    <w:p>
      <w:pPr>
        <w:ind w:firstLine="640" w:firstLineChars="200"/>
        <w:outlineLvl w:val="1"/>
        <w:rPr>
          <w:rFonts w:hint="eastAsia" w:ascii="黑体" w:hAnsi="黑体" w:eastAsia="黑体" w:cs="宋体"/>
          <w:bCs/>
          <w:color w:val="auto"/>
          <w:kern w:val="0"/>
          <w:sz w:val="32"/>
          <w:szCs w:val="32"/>
        </w:rPr>
      </w:pPr>
      <w:bookmarkStart w:id="8" w:name="_Toc12566"/>
      <w:bookmarkStart w:id="9" w:name="_Toc25314"/>
      <w:r>
        <w:rPr>
          <w:rFonts w:hint="eastAsia" w:ascii="黑体" w:hAnsi="黑体" w:eastAsia="黑体" w:cs="宋体"/>
          <w:bCs/>
          <w:color w:val="auto"/>
          <w:kern w:val="0"/>
          <w:sz w:val="32"/>
          <w:szCs w:val="32"/>
        </w:rPr>
        <w:t>一、收入支出决算总体情况说明</w:t>
      </w:r>
      <w:bookmarkEnd w:id="8"/>
      <w:bookmarkEnd w:id="9"/>
    </w:p>
    <w:p>
      <w:pPr>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2023年度收入总计789.07万元，其中：本年收入合计789.07万元，使用非财政拨款结余0.00万元，年初结转和结余0.00万元。</w:t>
      </w:r>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rPr>
        <w:t>2023年度支出总计789.07万元，其中：本年支出合计789.07</w:t>
      </w:r>
      <w:r>
        <w:rPr>
          <w:rFonts w:hint="eastAsia" w:ascii="仿宋_GB2312" w:eastAsia="仿宋_GB2312"/>
          <w:color w:val="auto"/>
          <w:sz w:val="32"/>
          <w:szCs w:val="32"/>
          <w:highlight w:val="none"/>
        </w:rPr>
        <w:t>万元，结余分配0.00万元，年末结转和结余0.00万元。</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highlight w:val="none"/>
        </w:rPr>
        <w:t>收入支出</w:t>
      </w:r>
      <w:r>
        <w:rPr>
          <w:rFonts w:hint="eastAsia" w:ascii="仿宋_GB2312" w:eastAsia="仿宋_GB2312"/>
          <w:color w:val="auto"/>
          <w:sz w:val="32"/>
          <w:szCs w:val="32"/>
        </w:rPr>
        <w:t>总体与上年相比，减少</w:t>
      </w:r>
      <w:r>
        <w:rPr>
          <w:rFonts w:hint="eastAsia" w:ascii="仿宋_GB2312" w:eastAsia="仿宋_GB2312"/>
          <w:color w:val="auto"/>
          <w:sz w:val="32"/>
          <w:szCs w:val="32"/>
          <w:lang w:val="en-US" w:eastAsia="zh-CN"/>
        </w:rPr>
        <w:t>152.72</w:t>
      </w:r>
      <w:r>
        <w:rPr>
          <w:rFonts w:hint="eastAsia" w:ascii="仿宋_GB2312" w:eastAsia="仿宋_GB2312"/>
          <w:color w:val="auto"/>
          <w:sz w:val="32"/>
          <w:szCs w:val="32"/>
          <w:lang w:val="zh-CN"/>
        </w:rPr>
        <w:t>万元</w:t>
      </w:r>
      <w:r>
        <w:rPr>
          <w:rFonts w:hint="eastAsia" w:ascii="仿宋_GB2312" w:eastAsia="仿宋_GB2312"/>
          <w:color w:val="auto"/>
          <w:sz w:val="32"/>
          <w:szCs w:val="32"/>
        </w:rPr>
        <w:t>，</w:t>
      </w:r>
      <w:r>
        <w:rPr>
          <w:rFonts w:hint="default" w:ascii="仿宋_GB2312" w:hAnsi="Times New Roman" w:eastAsia="仿宋_GB2312" w:cs="Times New Roman"/>
          <w:color w:val="auto"/>
          <w:sz w:val="32"/>
          <w:szCs w:val="32"/>
          <w:lang w:val="en-US" w:eastAsia="zh-CN"/>
        </w:rPr>
        <w:t>下降</w:t>
      </w:r>
      <w:r>
        <w:rPr>
          <w:rFonts w:hint="eastAsia" w:ascii="仿宋_GB2312" w:eastAsia="仿宋_GB2312"/>
          <w:color w:val="auto"/>
          <w:sz w:val="32"/>
          <w:szCs w:val="32"/>
          <w:lang w:val="en-US" w:eastAsia="zh-CN"/>
        </w:rPr>
        <w:t>16.22</w:t>
      </w:r>
      <w:r>
        <w:rPr>
          <w:rFonts w:hint="eastAsia" w:ascii="仿宋_GB2312" w:eastAsia="仿宋_GB2312"/>
          <w:color w:val="auto"/>
          <w:sz w:val="32"/>
          <w:szCs w:val="32"/>
          <w:lang w:val="zh-CN"/>
        </w:rPr>
        <w:t>%</w:t>
      </w:r>
      <w:r>
        <w:rPr>
          <w:rFonts w:hint="eastAsia" w:ascii="仿宋_GB2312" w:eastAsia="仿宋_GB2312"/>
          <w:color w:val="auto"/>
          <w:sz w:val="32"/>
          <w:szCs w:val="32"/>
        </w:rPr>
        <w:t>，主要原因是：</w:t>
      </w:r>
      <w:r>
        <w:rPr>
          <w:rFonts w:hint="eastAsia" w:ascii="仿宋_GB2312" w:eastAsia="仿宋_GB2312"/>
          <w:color w:val="auto"/>
          <w:spacing w:val="0"/>
          <w:sz w:val="32"/>
          <w:szCs w:val="32"/>
          <w:highlight w:val="none"/>
          <w:lang w:eastAsia="zh-CN"/>
        </w:rPr>
        <w:t>响应节俭要求，节省开支，在保证基本运营的情况下，非必须品暂不购买不支付。</w:t>
      </w:r>
    </w:p>
    <w:p>
      <w:pPr>
        <w:ind w:firstLine="640" w:firstLineChars="200"/>
        <w:jc w:val="left"/>
        <w:outlineLvl w:val="1"/>
        <w:rPr>
          <w:rFonts w:hint="eastAsia" w:ascii="黑体" w:hAnsi="黑体" w:eastAsia="黑体" w:cs="宋体"/>
          <w:bCs/>
          <w:color w:val="auto"/>
          <w:kern w:val="0"/>
          <w:sz w:val="32"/>
          <w:szCs w:val="32"/>
        </w:rPr>
      </w:pPr>
      <w:bookmarkStart w:id="10" w:name="_Toc1979"/>
      <w:bookmarkStart w:id="11" w:name="_Toc12142"/>
      <w:r>
        <w:rPr>
          <w:rFonts w:hint="eastAsia" w:ascii="黑体" w:hAnsi="黑体" w:eastAsia="黑体" w:cs="宋体"/>
          <w:bCs/>
          <w:color w:val="auto"/>
          <w:kern w:val="0"/>
          <w:sz w:val="32"/>
          <w:szCs w:val="32"/>
        </w:rPr>
        <w:t>二、收入决算情况说明</w:t>
      </w:r>
      <w:bookmarkEnd w:id="10"/>
      <w:bookmarkEnd w:id="11"/>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rPr>
        <w:t>789.07万元，其中：财政拨款收入</w:t>
      </w:r>
      <w:r>
        <w:rPr>
          <w:rFonts w:hint="eastAsia" w:ascii="仿宋_GB2312" w:eastAsia="仿宋_GB2312"/>
          <w:color w:val="auto"/>
          <w:sz w:val="32"/>
          <w:szCs w:val="32"/>
          <w:lang w:val="zh-CN"/>
        </w:rPr>
        <w:t>789.07</w:t>
      </w:r>
      <w:r>
        <w:rPr>
          <w:rFonts w:hint="eastAsia" w:ascii="仿宋_GB2312" w:eastAsia="仿宋_GB2312"/>
          <w:color w:val="auto"/>
          <w:sz w:val="32"/>
          <w:szCs w:val="32"/>
        </w:rPr>
        <w:t>万元，占</w:t>
      </w:r>
      <w:r>
        <w:rPr>
          <w:rFonts w:hint="eastAsia" w:ascii="仿宋_GB2312" w:eastAsia="仿宋_GB2312"/>
          <w:color w:val="auto"/>
          <w:sz w:val="32"/>
          <w:szCs w:val="32"/>
          <w:lang w:val="zh-CN"/>
        </w:rPr>
        <w:t>100.00</w:t>
      </w:r>
      <w:r>
        <w:rPr>
          <w:rFonts w:hint="eastAsia" w:ascii="仿宋_GB2312" w:eastAsia="仿宋_GB2312"/>
          <w:color w:val="auto"/>
          <w:sz w:val="32"/>
          <w:szCs w:val="32"/>
        </w:rPr>
        <w:t>%；上级补助收入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%；事业收入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%；经营收入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%；附属单位上缴收入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%；其他收入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w:t>
      </w:r>
    </w:p>
    <w:p>
      <w:pPr>
        <w:ind w:firstLine="640" w:firstLineChars="200"/>
        <w:jc w:val="left"/>
        <w:outlineLvl w:val="1"/>
        <w:rPr>
          <w:rFonts w:hint="eastAsia" w:ascii="黑体" w:hAnsi="黑体" w:eastAsia="黑体" w:cs="宋体"/>
          <w:bCs/>
          <w:color w:val="auto"/>
          <w:kern w:val="0"/>
          <w:sz w:val="32"/>
          <w:szCs w:val="32"/>
        </w:rPr>
      </w:pPr>
      <w:bookmarkStart w:id="12" w:name="_Toc27961"/>
      <w:bookmarkStart w:id="13" w:name="_Toc13201"/>
      <w:r>
        <w:rPr>
          <w:rFonts w:hint="eastAsia" w:ascii="黑体" w:hAnsi="黑体" w:eastAsia="黑体" w:cs="宋体"/>
          <w:bCs/>
          <w:color w:val="auto"/>
          <w:kern w:val="0"/>
          <w:sz w:val="32"/>
          <w:szCs w:val="32"/>
        </w:rPr>
        <w:t>三、支出决算情况说明</w:t>
      </w:r>
      <w:bookmarkEnd w:id="12"/>
      <w:bookmarkEnd w:id="13"/>
    </w:p>
    <w:p>
      <w:pPr>
        <w:ind w:firstLine="640" w:firstLineChars="200"/>
        <w:jc w:val="left"/>
        <w:rPr>
          <w:rFonts w:eastAsia="仿宋_GB2312" w:cs="仿宋_GB2312"/>
          <w:color w:val="auto"/>
          <w:sz w:val="30"/>
          <w:szCs w:val="30"/>
          <w:lang w:val="zh-CN"/>
        </w:rPr>
      </w:pPr>
      <w:r>
        <w:rPr>
          <w:rFonts w:hint="eastAsia" w:eastAsia="仿宋_GB2312" w:cs="仿宋_GB2312"/>
          <w:color w:val="auto"/>
          <w:sz w:val="32"/>
          <w:szCs w:val="32"/>
          <w:highlight w:val="none"/>
          <w:lang w:val="zh-CN"/>
        </w:rPr>
        <w:t>本年支出789.07万</w:t>
      </w:r>
      <w:r>
        <w:rPr>
          <w:rFonts w:hint="eastAsia" w:eastAsia="仿宋_GB2312" w:cs="仿宋_GB2312"/>
          <w:color w:val="auto"/>
          <w:sz w:val="32"/>
          <w:szCs w:val="32"/>
          <w:lang w:val="zh-CN"/>
        </w:rPr>
        <w:t>元，其中：基本支出767.44万元，占97.26%；项目支出21.63万元，占2.74%；上缴上级支出0.00万元，占0.00%；经营支出0.00万元，占0.00%；对附属单位补助支出0.00万元，占0.00%。</w:t>
      </w:r>
    </w:p>
    <w:p>
      <w:pPr>
        <w:ind w:firstLine="640" w:firstLineChars="200"/>
        <w:jc w:val="left"/>
        <w:outlineLvl w:val="1"/>
        <w:rPr>
          <w:rFonts w:hint="eastAsia" w:ascii="黑体" w:hAnsi="黑体" w:eastAsia="黑体" w:cs="宋体"/>
          <w:bCs/>
          <w:color w:val="auto"/>
          <w:kern w:val="0"/>
          <w:sz w:val="32"/>
          <w:szCs w:val="32"/>
        </w:rPr>
      </w:pPr>
      <w:bookmarkStart w:id="14" w:name="_Toc26564"/>
      <w:bookmarkStart w:id="15" w:name="_Toc4393"/>
      <w:r>
        <w:rPr>
          <w:rFonts w:hint="eastAsia" w:ascii="黑体" w:hAnsi="黑体" w:eastAsia="黑体" w:cs="宋体"/>
          <w:bCs/>
          <w:color w:val="auto"/>
          <w:kern w:val="0"/>
          <w:sz w:val="32"/>
          <w:szCs w:val="32"/>
        </w:rPr>
        <w:t>四、财政拨款收入支出决算总体情况说明</w:t>
      </w:r>
      <w:bookmarkEnd w:id="14"/>
      <w:bookmarkEnd w:id="15"/>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2023年度财政拨款收入总计</w:t>
      </w:r>
      <w:r>
        <w:rPr>
          <w:rFonts w:hint="eastAsia" w:ascii="仿宋_GB2312" w:eastAsia="仿宋_GB2312"/>
          <w:color w:val="auto"/>
          <w:sz w:val="32"/>
          <w:szCs w:val="32"/>
          <w:lang w:val="zh-CN"/>
        </w:rPr>
        <w:t>789.07</w:t>
      </w:r>
      <w:r>
        <w:rPr>
          <w:rFonts w:hint="eastAsia" w:ascii="仿宋_GB2312" w:eastAsia="仿宋_GB2312"/>
          <w:color w:val="auto"/>
          <w:sz w:val="32"/>
          <w:szCs w:val="32"/>
        </w:rPr>
        <w:t>万元，其中：年初财政拨款结转和结余</w:t>
      </w:r>
      <w:r>
        <w:rPr>
          <w:rFonts w:hint="eastAsia" w:ascii="仿宋_GB2312" w:eastAsia="仿宋_GB2312"/>
          <w:color w:val="auto"/>
          <w:sz w:val="32"/>
          <w:szCs w:val="32"/>
          <w:lang w:val="zh-CN"/>
        </w:rPr>
        <w:t>0.00</w:t>
      </w:r>
      <w:r>
        <w:rPr>
          <w:rFonts w:hint="eastAsia" w:ascii="仿宋_GB2312" w:eastAsia="仿宋_GB2312"/>
          <w:color w:val="auto"/>
          <w:sz w:val="32"/>
          <w:szCs w:val="32"/>
        </w:rPr>
        <w:t>万元，本年财政拨款收入</w:t>
      </w:r>
      <w:r>
        <w:rPr>
          <w:rFonts w:hint="eastAsia" w:ascii="仿宋_GB2312" w:eastAsia="仿宋_GB2312"/>
          <w:color w:val="auto"/>
          <w:sz w:val="32"/>
          <w:szCs w:val="32"/>
          <w:lang w:val="zh-CN"/>
        </w:rPr>
        <w:t>789.07</w:t>
      </w:r>
      <w:r>
        <w:rPr>
          <w:rFonts w:hint="eastAsia" w:ascii="仿宋_GB2312" w:eastAsia="仿宋_GB2312"/>
          <w:color w:val="auto"/>
          <w:sz w:val="32"/>
          <w:szCs w:val="32"/>
        </w:rPr>
        <w:t>万元。财政拨款支出总计</w:t>
      </w:r>
      <w:r>
        <w:rPr>
          <w:rFonts w:hint="eastAsia" w:ascii="仿宋_GB2312" w:eastAsia="仿宋_GB2312"/>
          <w:color w:val="auto"/>
          <w:sz w:val="32"/>
          <w:szCs w:val="32"/>
          <w:lang w:val="zh-CN"/>
        </w:rPr>
        <w:t>789.07</w:t>
      </w:r>
      <w:r>
        <w:rPr>
          <w:rFonts w:hint="eastAsia" w:ascii="仿宋_GB2312" w:eastAsia="仿宋_GB2312"/>
          <w:color w:val="auto"/>
          <w:sz w:val="32"/>
          <w:szCs w:val="32"/>
        </w:rPr>
        <w:t>万元，其中：年末财政拨款结转和结余</w:t>
      </w:r>
      <w:r>
        <w:rPr>
          <w:rFonts w:hint="eastAsia" w:ascii="仿宋_GB2312" w:eastAsia="仿宋_GB2312"/>
          <w:color w:val="auto"/>
          <w:sz w:val="32"/>
          <w:szCs w:val="32"/>
          <w:lang w:val="zh-CN"/>
        </w:rPr>
        <w:t>0.00</w:t>
      </w:r>
      <w:r>
        <w:rPr>
          <w:rFonts w:hint="eastAsia" w:ascii="仿宋_GB2312" w:eastAsia="仿宋_GB2312"/>
          <w:color w:val="auto"/>
          <w:sz w:val="32"/>
          <w:szCs w:val="32"/>
        </w:rPr>
        <w:t>万元，本年财政拨款支出</w:t>
      </w:r>
      <w:r>
        <w:rPr>
          <w:rFonts w:hint="eastAsia" w:ascii="仿宋_GB2312" w:eastAsia="仿宋_GB2312"/>
          <w:color w:val="auto"/>
          <w:sz w:val="32"/>
          <w:szCs w:val="32"/>
          <w:lang w:val="zh-CN"/>
        </w:rPr>
        <w:t>789.07</w:t>
      </w:r>
      <w:r>
        <w:rPr>
          <w:rFonts w:hint="eastAsia" w:ascii="仿宋_GB2312" w:eastAsia="仿宋_GB2312"/>
          <w:color w:val="auto"/>
          <w:sz w:val="32"/>
          <w:szCs w:val="32"/>
        </w:rPr>
        <w:t>万元。</w:t>
      </w:r>
    </w:p>
    <w:p>
      <w:pPr>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财政拨款收入支出总体与上年相比,</w:t>
      </w:r>
      <w:r>
        <w:rPr>
          <w:rFonts w:hint="eastAsia" w:ascii="仿宋_GB2312" w:eastAsia="仿宋_GB2312"/>
          <w:color w:val="auto"/>
          <w:sz w:val="32"/>
          <w:szCs w:val="32"/>
          <w:lang w:val="zh-CN"/>
        </w:rPr>
        <w:t>减少</w:t>
      </w:r>
      <w:r>
        <w:rPr>
          <w:rFonts w:hint="eastAsia" w:ascii="仿宋_GB2312" w:eastAsia="仿宋_GB2312"/>
          <w:color w:val="auto"/>
          <w:sz w:val="32"/>
          <w:szCs w:val="32"/>
          <w:lang w:val="en-US" w:eastAsia="zh-CN"/>
        </w:rPr>
        <w:t>152.72</w:t>
      </w:r>
      <w:r>
        <w:rPr>
          <w:rFonts w:hint="eastAsia" w:ascii="仿宋_GB2312" w:eastAsia="仿宋_GB2312"/>
          <w:color w:val="auto"/>
          <w:sz w:val="32"/>
          <w:szCs w:val="32"/>
          <w:lang w:val="zh-CN"/>
        </w:rPr>
        <w:t>万元</w:t>
      </w:r>
      <w:r>
        <w:rPr>
          <w:rFonts w:hint="eastAsia" w:ascii="仿宋_GB2312" w:eastAsia="仿宋_GB2312"/>
          <w:color w:val="auto"/>
          <w:sz w:val="32"/>
          <w:szCs w:val="32"/>
        </w:rPr>
        <w:t>，</w:t>
      </w:r>
      <w:r>
        <w:rPr>
          <w:rFonts w:hint="default" w:ascii="仿宋_GB2312" w:hAnsi="Times New Roman" w:eastAsia="仿宋_GB2312" w:cs="Times New Roman"/>
          <w:color w:val="auto"/>
          <w:sz w:val="32"/>
          <w:szCs w:val="32"/>
          <w:lang w:val="en-US" w:eastAsia="zh-CN"/>
        </w:rPr>
        <w:t>下降</w:t>
      </w:r>
      <w:r>
        <w:rPr>
          <w:rFonts w:hint="eastAsia" w:ascii="仿宋_GB2312" w:eastAsia="仿宋_GB2312"/>
          <w:color w:val="auto"/>
          <w:sz w:val="32"/>
          <w:szCs w:val="32"/>
          <w:lang w:val="en-US" w:eastAsia="zh-CN"/>
        </w:rPr>
        <w:t>16.22</w:t>
      </w:r>
      <w:r>
        <w:rPr>
          <w:rFonts w:hint="eastAsia" w:ascii="仿宋_GB2312" w:eastAsia="仿宋_GB2312"/>
          <w:color w:val="auto"/>
          <w:sz w:val="32"/>
          <w:szCs w:val="32"/>
          <w:lang w:val="zh-CN"/>
        </w:rPr>
        <w:t>%，</w:t>
      </w:r>
      <w:r>
        <w:rPr>
          <w:rFonts w:hint="eastAsia" w:ascii="仿宋_GB2312" w:eastAsia="仿宋_GB2312"/>
          <w:color w:val="auto"/>
          <w:sz w:val="32"/>
          <w:szCs w:val="32"/>
        </w:rPr>
        <w:t>主要原因是：</w:t>
      </w:r>
      <w:r>
        <w:rPr>
          <w:rFonts w:hint="eastAsia" w:ascii="仿宋_GB2312" w:eastAsia="仿宋_GB2312"/>
          <w:color w:val="auto"/>
          <w:spacing w:val="0"/>
          <w:sz w:val="32"/>
          <w:szCs w:val="32"/>
          <w:highlight w:val="none"/>
          <w:lang w:eastAsia="zh-CN"/>
        </w:rPr>
        <w:t>响应节俭要求，节省开支，在保证基本运营的情况下，非必须品暂不购买不支付</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z w:val="32"/>
          <w:szCs w:val="32"/>
        </w:rPr>
        <w:t>与年初预算相比，年初预算数</w:t>
      </w:r>
      <w:r>
        <w:rPr>
          <w:rFonts w:hint="eastAsia" w:ascii="仿宋_GB2312" w:eastAsia="仿宋_GB2312"/>
          <w:color w:val="auto"/>
          <w:sz w:val="32"/>
          <w:szCs w:val="32"/>
          <w:lang w:val="zh-CN"/>
        </w:rPr>
        <w:t>921.20</w:t>
      </w:r>
      <w:r>
        <w:rPr>
          <w:rFonts w:hint="eastAsia" w:ascii="仿宋_GB2312" w:eastAsia="仿宋_GB2312"/>
          <w:color w:val="auto"/>
          <w:sz w:val="32"/>
          <w:szCs w:val="32"/>
        </w:rPr>
        <w:t>万元，决算数</w:t>
      </w:r>
      <w:r>
        <w:rPr>
          <w:rFonts w:hint="eastAsia" w:ascii="仿宋_GB2312" w:eastAsia="仿宋_GB2312"/>
          <w:color w:val="auto"/>
          <w:sz w:val="32"/>
          <w:szCs w:val="32"/>
          <w:lang w:val="zh-CN"/>
        </w:rPr>
        <w:t>789.07</w:t>
      </w:r>
      <w:r>
        <w:rPr>
          <w:rFonts w:hint="eastAsia" w:ascii="仿宋_GB2312" w:eastAsia="仿宋_GB2312"/>
          <w:color w:val="auto"/>
          <w:sz w:val="32"/>
          <w:szCs w:val="32"/>
        </w:rPr>
        <w:t>万元，预决算差异率-14.34%</w:t>
      </w:r>
      <w:r>
        <w:rPr>
          <w:rFonts w:hint="eastAsia" w:ascii="仿宋_GB2312" w:eastAsia="仿宋_GB2312"/>
          <w:color w:val="auto"/>
          <w:sz w:val="32"/>
          <w:szCs w:val="32"/>
          <w:lang w:eastAsia="zh-CN"/>
        </w:rPr>
        <w:t>。</w:t>
      </w:r>
      <w:r>
        <w:rPr>
          <w:rFonts w:hint="eastAsia" w:ascii="仿宋_GB2312" w:eastAsia="仿宋_GB2312"/>
          <w:color w:val="auto"/>
          <w:spacing w:val="0"/>
          <w:sz w:val="32"/>
          <w:szCs w:val="32"/>
          <w:highlight w:val="none"/>
          <w:lang w:val="en-US" w:eastAsia="zh-CN"/>
        </w:rPr>
        <w:t>主要原因是：本年度长聘人员辞职5人，人员及相关公用经费减少。本着严格执行中央八项规定，厉行节约，压缩各项经费支出。对办公费、维修费、宣传制作费等相关支出尽量压缩，树立过紧日子的思想。比上年度减少了运转经费支出。</w:t>
      </w:r>
    </w:p>
    <w:p>
      <w:pPr>
        <w:ind w:firstLine="640" w:firstLineChars="200"/>
        <w:jc w:val="left"/>
        <w:rPr>
          <w:rFonts w:hint="eastAsia" w:ascii="仿宋_GB2312" w:eastAsia="仿宋_GB2312"/>
          <w:color w:val="auto"/>
          <w:sz w:val="32"/>
          <w:szCs w:val="32"/>
          <w:lang w:eastAsia="zh-CN"/>
        </w:rPr>
      </w:pPr>
    </w:p>
    <w:p>
      <w:pPr>
        <w:ind w:firstLine="640" w:firstLineChars="200"/>
        <w:jc w:val="left"/>
        <w:outlineLvl w:val="1"/>
        <w:rPr>
          <w:rFonts w:hint="eastAsia" w:ascii="黑体" w:hAnsi="黑体" w:eastAsia="黑体" w:cs="宋体"/>
          <w:bCs/>
          <w:color w:val="auto"/>
          <w:kern w:val="0"/>
          <w:sz w:val="32"/>
          <w:szCs w:val="32"/>
        </w:rPr>
      </w:pPr>
      <w:bookmarkStart w:id="16" w:name="_Toc20360"/>
      <w:bookmarkStart w:id="17" w:name="_Toc13833"/>
      <w:r>
        <w:rPr>
          <w:rFonts w:hint="eastAsia" w:ascii="黑体" w:hAnsi="黑体" w:eastAsia="黑体" w:cs="宋体"/>
          <w:bCs/>
          <w:color w:val="auto"/>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color w:val="auto"/>
          <w:sz w:val="32"/>
          <w:szCs w:val="32"/>
        </w:rPr>
      </w:pPr>
      <w:r>
        <w:rPr>
          <w:rFonts w:hint="eastAsia" w:ascii="黑体" w:hAnsi="黑体" w:eastAsia="黑体"/>
          <w:color w:val="auto"/>
          <w:sz w:val="32"/>
          <w:szCs w:val="32"/>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2023年度一般公共预算财政拨款支出767.44万元，占</w:t>
      </w:r>
      <w:bookmarkStart w:id="18" w:name="OLE_LINK4"/>
      <w:r>
        <w:rPr>
          <w:rFonts w:hint="eastAsia" w:ascii="仿宋_GB2312" w:hAnsi="Times New Roman" w:eastAsia="仿宋_GB2312" w:cs="Times New Roman"/>
          <w:color w:val="auto"/>
          <w:spacing w:val="0"/>
          <w:kern w:val="2"/>
          <w:sz w:val="32"/>
          <w:szCs w:val="32"/>
          <w:highlight w:val="none"/>
          <w:lang w:val="en-US" w:eastAsia="zh-CN" w:bidi="ar-SA"/>
        </w:rPr>
        <w:t>本年支出合计的97.26</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。与上年相比，</w:t>
      </w:r>
      <w:r>
        <w:rPr>
          <w:rFonts w:hint="eastAsia" w:ascii="仿宋_GB2312" w:hAnsi="Times New Roman" w:eastAsia="仿宋_GB2312" w:cs="Times New Roman"/>
          <w:color w:val="auto"/>
          <w:spacing w:val="0"/>
          <w:kern w:val="2"/>
          <w:sz w:val="32"/>
          <w:szCs w:val="32"/>
          <w:highlight w:val="none"/>
          <w:lang w:val="zh-CN" w:eastAsia="zh-CN" w:bidi="ar-SA"/>
        </w:rPr>
        <w:t>减少</w:t>
      </w:r>
      <w:r>
        <w:rPr>
          <w:rFonts w:hint="eastAsia" w:ascii="仿宋_GB2312" w:hAnsi="Times New Roman" w:eastAsia="仿宋_GB2312" w:cs="Times New Roman"/>
          <w:color w:val="auto"/>
          <w:spacing w:val="0"/>
          <w:kern w:val="2"/>
          <w:sz w:val="32"/>
          <w:szCs w:val="32"/>
          <w:highlight w:val="none"/>
          <w:lang w:val="en-US" w:eastAsia="zh-CN" w:bidi="ar-SA"/>
        </w:rPr>
        <w:t>144.09</w:t>
      </w:r>
      <w:r>
        <w:rPr>
          <w:rFonts w:hint="eastAsia" w:ascii="仿宋_GB2312" w:hAnsi="Times New Roman" w:eastAsia="仿宋_GB2312" w:cs="Times New Roman"/>
          <w:color w:val="auto"/>
          <w:spacing w:val="0"/>
          <w:kern w:val="2"/>
          <w:sz w:val="32"/>
          <w:szCs w:val="32"/>
          <w:highlight w:val="none"/>
          <w:lang w:val="zh-CN" w:eastAsia="zh-CN" w:bidi="ar-SA"/>
        </w:rPr>
        <w:t>万元</w:t>
      </w:r>
      <w:r>
        <w:rPr>
          <w:rFonts w:hint="eastAsia" w:ascii="仿宋_GB2312" w:hAnsi="Times New Roman"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zh-CN" w:eastAsia="zh-CN" w:bidi="ar-SA"/>
        </w:rPr>
        <w:t>下降</w:t>
      </w:r>
      <w:r>
        <w:rPr>
          <w:rFonts w:hint="eastAsia" w:ascii="仿宋_GB2312" w:hAnsi="Times New Roman" w:eastAsia="仿宋_GB2312" w:cs="Times New Roman"/>
          <w:color w:val="auto"/>
          <w:spacing w:val="0"/>
          <w:kern w:val="2"/>
          <w:sz w:val="32"/>
          <w:szCs w:val="32"/>
          <w:highlight w:val="none"/>
          <w:lang w:val="en-US" w:eastAsia="zh-CN" w:bidi="ar-SA"/>
        </w:rPr>
        <w:t>15.81</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主要原因是：上年度含疫情专项支出，本年无此支出和本年长聘人员辞职5人，人员及相关公用经费减少，基本支出预算支出较上年度减少。与年初预算相比，年初预算数902.65万元，决算数767.44万元，预决算差异率</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14.98</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，主要原因是：严格执行中央八项规定，厉行节约，压缩各项经费支出。各项收入相对体现出预算编制的科学合理性，有效的节约了不必需的开支。</w:t>
      </w:r>
      <w:bookmarkEnd w:id="18"/>
    </w:p>
    <w:p>
      <w:pPr>
        <w:numPr>
          <w:ilvl w:val="0"/>
          <w:numId w:val="1"/>
        </w:numPr>
        <w:ind w:firstLine="640" w:firstLineChars="200"/>
        <w:jc w:val="left"/>
        <w:outlineLvl w:val="2"/>
        <w:rPr>
          <w:rFonts w:hint="eastAsia" w:ascii="黑体" w:hAnsi="黑体" w:eastAsia="黑体"/>
          <w:color w:val="auto"/>
          <w:sz w:val="32"/>
          <w:szCs w:val="32"/>
        </w:rPr>
      </w:pPr>
      <w:r>
        <w:rPr>
          <w:rFonts w:hint="eastAsia" w:ascii="黑体" w:hAnsi="黑体" w:eastAsia="黑体"/>
          <w:color w:val="auto"/>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1.一般公共服务支出（类）</w:t>
      </w:r>
      <w:r>
        <w:rPr>
          <w:rFonts w:hint="eastAsia" w:ascii="仿宋_GB2312" w:eastAsia="仿宋_GB2312"/>
          <w:color w:val="auto"/>
          <w:kern w:val="2"/>
          <w:sz w:val="32"/>
          <w:szCs w:val="32"/>
          <w:lang w:val="zh-CN"/>
        </w:rPr>
        <w:t>629.84</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82.07</w:t>
      </w:r>
      <w:r>
        <w:rPr>
          <w:rFonts w:ascii="仿宋_GB2312" w:eastAsia="仿宋_GB2312"/>
          <w:color w:val="auto"/>
          <w:kern w:val="2"/>
          <w:sz w:val="32"/>
          <w:szCs w:val="32"/>
          <w:lang w:val="zh-CN"/>
        </w:rPr>
        <w:t>%；</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2</w:t>
      </w:r>
      <w:r>
        <w:rPr>
          <w:rFonts w:ascii="仿宋_GB2312" w:eastAsia="仿宋_GB2312"/>
          <w:color w:val="auto"/>
          <w:kern w:val="2"/>
          <w:sz w:val="32"/>
          <w:szCs w:val="32"/>
          <w:lang w:val="zh-CN"/>
        </w:rPr>
        <w:t>.教育支出（类）</w:t>
      </w:r>
      <w:r>
        <w:rPr>
          <w:rFonts w:hint="eastAsia" w:ascii="仿宋_GB2312" w:eastAsia="仿宋_GB2312"/>
          <w:color w:val="auto"/>
          <w:kern w:val="2"/>
          <w:sz w:val="32"/>
          <w:szCs w:val="32"/>
          <w:lang w:val="zh-CN"/>
        </w:rPr>
        <w:t>1.89</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0.25</w:t>
      </w:r>
      <w:r>
        <w:rPr>
          <w:rFonts w:ascii="仿宋_GB2312" w:eastAsia="仿宋_GB2312"/>
          <w:color w:val="auto"/>
          <w:kern w:val="2"/>
          <w:sz w:val="32"/>
          <w:szCs w:val="32"/>
          <w:lang w:val="zh-CN"/>
        </w:rPr>
        <w:t>%；</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3</w:t>
      </w:r>
      <w:r>
        <w:rPr>
          <w:rFonts w:ascii="仿宋_GB2312" w:eastAsia="仿宋_GB2312"/>
          <w:color w:val="auto"/>
          <w:kern w:val="2"/>
          <w:sz w:val="32"/>
          <w:szCs w:val="32"/>
          <w:lang w:val="zh-CN"/>
        </w:rPr>
        <w:t>.社会保障和就业支出（类）</w:t>
      </w:r>
      <w:r>
        <w:rPr>
          <w:rFonts w:hint="eastAsia" w:ascii="仿宋_GB2312" w:eastAsia="仿宋_GB2312"/>
          <w:color w:val="auto"/>
          <w:kern w:val="2"/>
          <w:sz w:val="32"/>
          <w:szCs w:val="32"/>
          <w:lang w:val="zh-CN"/>
        </w:rPr>
        <w:t>89.29</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11.64</w:t>
      </w:r>
      <w:r>
        <w:rPr>
          <w:rFonts w:ascii="仿宋_GB2312" w:eastAsia="仿宋_GB2312"/>
          <w:color w:val="auto"/>
          <w:kern w:val="2"/>
          <w:sz w:val="32"/>
          <w:szCs w:val="32"/>
          <w:lang w:val="zh-CN"/>
        </w:rPr>
        <w:t>%；</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4</w:t>
      </w:r>
      <w:r>
        <w:rPr>
          <w:rFonts w:ascii="仿宋_GB2312" w:eastAsia="仿宋_GB2312"/>
          <w:color w:val="auto"/>
          <w:kern w:val="2"/>
          <w:sz w:val="32"/>
          <w:szCs w:val="32"/>
          <w:lang w:val="zh-CN"/>
        </w:rPr>
        <w:t>.卫生健康支出（类）</w:t>
      </w:r>
      <w:r>
        <w:rPr>
          <w:rFonts w:hint="eastAsia" w:ascii="仿宋_GB2312" w:eastAsia="仿宋_GB2312"/>
          <w:color w:val="auto"/>
          <w:kern w:val="2"/>
          <w:sz w:val="32"/>
          <w:szCs w:val="32"/>
          <w:lang w:val="zh-CN"/>
        </w:rPr>
        <w:t>18.58</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2.42</w:t>
      </w:r>
      <w:r>
        <w:rPr>
          <w:rFonts w:ascii="仿宋_GB2312" w:eastAsia="仿宋_GB2312"/>
          <w:color w:val="auto"/>
          <w:kern w:val="2"/>
          <w:sz w:val="32"/>
          <w:szCs w:val="32"/>
          <w:lang w:val="zh-CN"/>
        </w:rPr>
        <w:t>%；</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zh-CN"/>
        </w:rPr>
        <w:t>5</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27.84</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3.63</w:t>
      </w:r>
      <w:r>
        <w:rPr>
          <w:rFonts w:ascii="仿宋_GB2312" w:eastAsia="仿宋_GB2312"/>
          <w:color w:val="auto"/>
          <w:kern w:val="2"/>
          <w:sz w:val="32"/>
          <w:szCs w:val="32"/>
          <w:lang w:val="zh-CN"/>
        </w:rPr>
        <w:t>%；</w:t>
      </w:r>
    </w:p>
    <w:p>
      <w:pPr>
        <w:ind w:firstLine="640" w:firstLineChars="200"/>
        <w:jc w:val="left"/>
        <w:outlineLvl w:val="2"/>
        <w:rPr>
          <w:rFonts w:hint="eastAsia" w:ascii="黑体" w:hAnsi="黑体" w:eastAsia="黑体"/>
          <w:color w:val="auto"/>
          <w:sz w:val="32"/>
          <w:szCs w:val="32"/>
        </w:rPr>
      </w:pPr>
      <w:r>
        <w:rPr>
          <w:rFonts w:hint="eastAsia" w:ascii="黑体" w:hAnsi="黑体" w:eastAsia="黑体"/>
          <w:color w:val="auto"/>
          <w:sz w:val="32"/>
          <w:szCs w:val="32"/>
        </w:rPr>
        <w:t>（三）一般公共预算财政拨款支出决算具体情况</w:t>
      </w:r>
    </w:p>
    <w:p>
      <w:pPr>
        <w:ind w:firstLine="640" w:firstLineChars="200"/>
        <w:rPr>
          <w:rFonts w:eastAsia="仿宋_GB2312"/>
          <w:color w:val="auto"/>
          <w:sz w:val="32"/>
          <w:szCs w:val="32"/>
          <w:lang w:val="zh-CN"/>
        </w:rPr>
      </w:pPr>
      <w:r>
        <w:rPr>
          <w:rFonts w:hint="eastAsia" w:eastAsia="仿宋_GB2312"/>
          <w:color w:val="auto"/>
          <w:sz w:val="32"/>
          <w:szCs w:val="32"/>
        </w:rPr>
        <w:t>1.一般公共服务支出（类）组织事务（款）其他组织事务支出（项）:支出决算数为37.29万元，比上年决算减少</w:t>
      </w:r>
      <w:r>
        <w:rPr>
          <w:rFonts w:hint="eastAsia" w:eastAsia="仿宋_GB2312"/>
          <w:color w:val="auto"/>
          <w:sz w:val="32"/>
          <w:szCs w:val="32"/>
          <w:lang w:val="en-US" w:eastAsia="zh-CN"/>
        </w:rPr>
        <w:t>54.76</w:t>
      </w:r>
      <w:r>
        <w:rPr>
          <w:rFonts w:hint="eastAsia" w:eastAsia="仿宋_GB2312"/>
          <w:color w:val="auto"/>
          <w:sz w:val="32"/>
          <w:szCs w:val="32"/>
        </w:rPr>
        <w:t>万元，</w:t>
      </w:r>
      <w:r>
        <w:rPr>
          <w:rFonts w:hint="eastAsia" w:eastAsia="仿宋_GB2312"/>
          <w:color w:val="auto"/>
          <w:sz w:val="32"/>
          <w:szCs w:val="32"/>
          <w:lang w:eastAsia="zh-CN"/>
        </w:rPr>
        <w:t>下降</w:t>
      </w:r>
      <w:r>
        <w:rPr>
          <w:rFonts w:hint="eastAsia" w:eastAsia="仿宋_GB2312"/>
          <w:color w:val="auto"/>
          <w:sz w:val="32"/>
          <w:szCs w:val="32"/>
          <w:lang w:val="en-US" w:eastAsia="zh-CN"/>
        </w:rPr>
        <w:t>59.49</w:t>
      </w:r>
      <w:r>
        <w:rPr>
          <w:rFonts w:hint="eastAsia" w:eastAsia="仿宋_GB2312"/>
          <w:color w:val="auto"/>
          <w:sz w:val="32"/>
          <w:szCs w:val="32"/>
        </w:rPr>
        <w:t>%，主要原因是：</w:t>
      </w:r>
      <w:r>
        <w:rPr>
          <w:rFonts w:hint="eastAsia" w:eastAsia="仿宋_GB2312"/>
          <w:color w:val="auto"/>
          <w:sz w:val="32"/>
          <w:szCs w:val="32"/>
          <w:lang w:eastAsia="zh-CN"/>
        </w:rPr>
        <w:t>对个人和家庭补助－生活补助减少、</w:t>
      </w:r>
      <w:r>
        <w:rPr>
          <w:rFonts w:hint="eastAsia" w:eastAsia="仿宋_GB2312"/>
          <w:color w:val="auto"/>
          <w:sz w:val="32"/>
          <w:szCs w:val="32"/>
          <w:lang w:val="en-US" w:eastAsia="zh-CN"/>
        </w:rPr>
        <w:t>办公费用减少造成</w:t>
      </w:r>
      <w:r>
        <w:rPr>
          <w:rFonts w:hint="eastAsia" w:eastAsia="仿宋_GB2312"/>
          <w:color w:val="auto"/>
          <w:sz w:val="32"/>
          <w:szCs w:val="32"/>
        </w:rPr>
        <w:t>一般公共服务支出（类）组织事务（款）其他组织事务支出</w:t>
      </w:r>
      <w:r>
        <w:rPr>
          <w:rFonts w:hint="eastAsia" w:eastAsia="仿宋_GB2312"/>
          <w:color w:val="auto"/>
          <w:sz w:val="32"/>
          <w:szCs w:val="32"/>
          <w:lang w:eastAsia="zh-CN"/>
        </w:rPr>
        <w:t>下降</w:t>
      </w:r>
      <w:r>
        <w:rPr>
          <w:rFonts w:hint="eastAsia" w:eastAsia="仿宋_GB2312"/>
          <w:color w:val="auto"/>
          <w:sz w:val="32"/>
          <w:szCs w:val="32"/>
          <w:lang w:val="zh-CN"/>
        </w:rPr>
        <w:t>。</w:t>
      </w:r>
    </w:p>
    <w:p>
      <w:pPr>
        <w:ind w:firstLine="640" w:firstLineChars="200"/>
        <w:rPr>
          <w:rFonts w:eastAsia="仿宋_GB2312"/>
          <w:color w:val="auto"/>
          <w:sz w:val="32"/>
          <w:szCs w:val="32"/>
          <w:lang w:val="zh-CN"/>
        </w:rPr>
      </w:pPr>
      <w:r>
        <w:rPr>
          <w:rFonts w:hint="eastAsia" w:eastAsia="仿宋_GB2312"/>
          <w:color w:val="auto"/>
          <w:sz w:val="32"/>
          <w:szCs w:val="32"/>
        </w:rPr>
        <w:t>2.卫生健康支出（类）行政事业单位医疗（款）行政单位医疗（项）:支出决算数为16.65万元，比上年决算增加2.58万元，增长</w:t>
      </w:r>
      <w:r>
        <w:rPr>
          <w:rFonts w:hint="eastAsia" w:eastAsia="仿宋_GB2312"/>
          <w:color w:val="auto"/>
          <w:sz w:val="32"/>
          <w:szCs w:val="32"/>
          <w:lang w:val="en-US" w:eastAsia="zh-CN"/>
        </w:rPr>
        <w:t>18.34</w:t>
      </w:r>
      <w:r>
        <w:rPr>
          <w:rFonts w:hint="eastAsia" w:eastAsia="仿宋_GB2312"/>
          <w:color w:val="auto"/>
          <w:sz w:val="32"/>
          <w:szCs w:val="32"/>
        </w:rPr>
        <w:t>%，主要原因是：</w:t>
      </w:r>
      <w:r>
        <w:rPr>
          <w:rFonts w:eastAsia="仿宋_GB2312"/>
          <w:color w:val="auto"/>
          <w:sz w:val="32"/>
          <w:szCs w:val="32"/>
        </w:rPr>
        <w:t>人员工资调整，社保基数提高</w:t>
      </w:r>
      <w:r>
        <w:rPr>
          <w:rFonts w:hint="eastAsia" w:eastAsia="仿宋_GB2312"/>
          <w:color w:val="auto"/>
          <w:sz w:val="32"/>
          <w:szCs w:val="32"/>
          <w:lang w:val="zh-CN"/>
        </w:rPr>
        <w:t>。</w:t>
      </w:r>
    </w:p>
    <w:p>
      <w:pPr>
        <w:ind w:firstLine="640" w:firstLineChars="200"/>
        <w:rPr>
          <w:rFonts w:eastAsia="仿宋_GB2312"/>
          <w:color w:val="auto"/>
          <w:sz w:val="32"/>
          <w:szCs w:val="32"/>
        </w:rPr>
      </w:pPr>
      <w:r>
        <w:rPr>
          <w:rFonts w:hint="eastAsia" w:eastAsia="仿宋_GB2312"/>
          <w:color w:val="auto"/>
          <w:sz w:val="32"/>
          <w:szCs w:val="32"/>
        </w:rPr>
        <w:t>3.社会保障和就业支出（类）行政事业单位养老支出（款）行政单位离退休（项）:支出决算数为1.31万元，比上年决算增加0.42万元，增长47.19%，主要原因是：</w:t>
      </w:r>
      <w:r>
        <w:rPr>
          <w:rFonts w:eastAsia="仿宋_GB2312"/>
          <w:color w:val="auto"/>
          <w:sz w:val="32"/>
          <w:szCs w:val="32"/>
        </w:rPr>
        <w:t>增加退休人员，人员工资调整，社保基数提高</w:t>
      </w:r>
      <w:r>
        <w:rPr>
          <w:rFonts w:hint="eastAsia" w:eastAsia="仿宋_GB2312"/>
          <w:color w:val="auto"/>
          <w:sz w:val="32"/>
          <w:szCs w:val="32"/>
        </w:rPr>
        <w:t>。</w:t>
      </w:r>
    </w:p>
    <w:p>
      <w:pPr>
        <w:ind w:firstLine="640" w:firstLineChars="200"/>
        <w:rPr>
          <w:rFonts w:eastAsia="仿宋_GB2312"/>
          <w:color w:val="auto"/>
          <w:sz w:val="32"/>
          <w:szCs w:val="32"/>
          <w:lang w:val="zh-CN"/>
        </w:rPr>
      </w:pPr>
      <w:r>
        <w:rPr>
          <w:rFonts w:hint="eastAsia" w:eastAsia="仿宋_GB2312"/>
          <w:color w:val="auto"/>
          <w:sz w:val="32"/>
          <w:szCs w:val="32"/>
        </w:rPr>
        <w:t>4.社会保障和就业支出（类）行政事业单位养老支出（款）机关事业单位基本养老保险缴费支出（项）:支出决算数为35.50万元，比上年决算增加1.26万元，增长3.</w:t>
      </w:r>
      <w:r>
        <w:rPr>
          <w:rFonts w:hint="eastAsia" w:eastAsia="仿宋_GB2312"/>
          <w:color w:val="auto"/>
          <w:sz w:val="32"/>
          <w:szCs w:val="32"/>
          <w:lang w:val="en-US" w:eastAsia="zh-CN"/>
        </w:rPr>
        <w:t>68</w:t>
      </w:r>
      <w:r>
        <w:rPr>
          <w:rFonts w:hint="eastAsia" w:eastAsia="仿宋_GB2312"/>
          <w:color w:val="auto"/>
          <w:sz w:val="32"/>
          <w:szCs w:val="32"/>
        </w:rPr>
        <w:t>%，主要原因是：</w:t>
      </w:r>
      <w:r>
        <w:rPr>
          <w:rFonts w:eastAsia="仿宋_GB2312"/>
          <w:color w:val="auto"/>
          <w:sz w:val="32"/>
          <w:szCs w:val="32"/>
        </w:rPr>
        <w:t>人员工资调整，社保基数提高</w:t>
      </w:r>
      <w:r>
        <w:rPr>
          <w:rFonts w:hint="eastAsia" w:eastAsia="仿宋_GB2312"/>
          <w:color w:val="auto"/>
          <w:sz w:val="32"/>
          <w:szCs w:val="32"/>
          <w:lang w:val="zh-CN"/>
        </w:rPr>
        <w:t>。</w:t>
      </w:r>
    </w:p>
    <w:p>
      <w:pPr>
        <w:ind w:firstLine="640" w:firstLineChars="200"/>
        <w:rPr>
          <w:rFonts w:eastAsia="仿宋_GB2312"/>
          <w:color w:val="auto"/>
          <w:sz w:val="32"/>
          <w:szCs w:val="32"/>
          <w:lang w:val="zh-CN"/>
        </w:rPr>
      </w:pPr>
      <w:r>
        <w:rPr>
          <w:rFonts w:hint="eastAsia" w:eastAsia="仿宋_GB2312"/>
          <w:color w:val="auto"/>
          <w:sz w:val="32"/>
          <w:szCs w:val="32"/>
        </w:rPr>
        <w:t>5.一般公共服务支出（类）政府办公厅（室）及相关机构事务（款）行政运行（项）:支出决算数为590.62万元，比上年决算减少35.25万元，</w:t>
      </w:r>
      <w:r>
        <w:rPr>
          <w:rFonts w:hint="eastAsia" w:eastAsia="仿宋_GB2312"/>
          <w:color w:val="auto"/>
          <w:sz w:val="32"/>
          <w:szCs w:val="32"/>
          <w:lang w:eastAsia="zh-CN"/>
        </w:rPr>
        <w:t>下降</w:t>
      </w:r>
      <w:r>
        <w:rPr>
          <w:rFonts w:hint="eastAsia" w:eastAsia="仿宋_GB2312"/>
          <w:color w:val="auto"/>
          <w:sz w:val="32"/>
          <w:szCs w:val="32"/>
        </w:rPr>
        <w:t>5.63%，主要原因是：</w:t>
      </w:r>
      <w:r>
        <w:rPr>
          <w:rFonts w:hint="eastAsia" w:eastAsia="仿宋_GB2312"/>
          <w:color w:val="auto"/>
          <w:sz w:val="32"/>
          <w:szCs w:val="32"/>
          <w:lang w:eastAsia="zh-CN"/>
        </w:rPr>
        <w:t>同工同酬人员辞职，人员工资减少</w:t>
      </w:r>
      <w:r>
        <w:rPr>
          <w:rFonts w:hint="eastAsia" w:eastAsia="仿宋_GB2312"/>
          <w:color w:val="auto"/>
          <w:sz w:val="32"/>
          <w:szCs w:val="32"/>
          <w:lang w:val="zh-CN"/>
        </w:rPr>
        <w:t>。</w:t>
      </w:r>
    </w:p>
    <w:p>
      <w:pPr>
        <w:ind w:firstLine="640" w:firstLineChars="200"/>
        <w:rPr>
          <w:rFonts w:eastAsia="仿宋_GB2312"/>
          <w:color w:val="auto"/>
          <w:sz w:val="32"/>
          <w:szCs w:val="32"/>
          <w:lang w:val="zh-CN"/>
        </w:rPr>
      </w:pPr>
      <w:r>
        <w:rPr>
          <w:rFonts w:hint="eastAsia" w:eastAsia="仿宋_GB2312"/>
          <w:color w:val="auto"/>
          <w:sz w:val="32"/>
          <w:szCs w:val="32"/>
        </w:rPr>
        <w:t>6.社会保障和就业支出（类）就业补助（款）公益性岗位补贴（项）:支出决算数为46.39万元，比上年决算</w:t>
      </w:r>
      <w:r>
        <w:rPr>
          <w:rFonts w:hint="eastAsia" w:eastAsia="仿宋_GB2312"/>
          <w:color w:val="auto"/>
          <w:sz w:val="32"/>
          <w:szCs w:val="32"/>
          <w:lang w:eastAsia="zh-CN"/>
        </w:rPr>
        <w:t>减少</w:t>
      </w:r>
      <w:r>
        <w:rPr>
          <w:rFonts w:hint="eastAsia" w:eastAsia="仿宋_GB2312"/>
          <w:color w:val="auto"/>
          <w:sz w:val="32"/>
          <w:szCs w:val="32"/>
          <w:lang w:val="en-US" w:eastAsia="zh-CN"/>
        </w:rPr>
        <w:t>26.35</w:t>
      </w:r>
      <w:r>
        <w:rPr>
          <w:rFonts w:hint="eastAsia" w:eastAsia="仿宋_GB2312"/>
          <w:color w:val="auto"/>
          <w:sz w:val="32"/>
          <w:szCs w:val="32"/>
        </w:rPr>
        <w:t>万元，</w:t>
      </w:r>
      <w:r>
        <w:rPr>
          <w:rFonts w:hint="eastAsia" w:eastAsia="仿宋_GB2312"/>
          <w:color w:val="auto"/>
          <w:sz w:val="32"/>
          <w:szCs w:val="32"/>
          <w:lang w:eastAsia="zh-CN"/>
        </w:rPr>
        <w:t>下降</w:t>
      </w:r>
      <w:r>
        <w:rPr>
          <w:rFonts w:hint="eastAsia" w:eastAsia="仿宋_GB2312"/>
          <w:color w:val="auto"/>
          <w:sz w:val="32"/>
          <w:szCs w:val="32"/>
          <w:lang w:val="en-US" w:eastAsia="zh-CN"/>
        </w:rPr>
        <w:t>36.22</w:t>
      </w:r>
      <w:r>
        <w:rPr>
          <w:rFonts w:hint="eastAsia" w:eastAsia="仿宋_GB2312"/>
          <w:color w:val="auto"/>
          <w:sz w:val="32"/>
          <w:szCs w:val="32"/>
        </w:rPr>
        <w:t>%，主要原因是：</w:t>
      </w:r>
      <w:r>
        <w:rPr>
          <w:rFonts w:hint="eastAsia" w:eastAsia="仿宋_GB2312"/>
          <w:color w:val="auto"/>
          <w:sz w:val="32"/>
          <w:szCs w:val="32"/>
          <w:lang w:eastAsia="zh-CN"/>
        </w:rPr>
        <w:t>同工同酬人员辞职，人员工资减少</w:t>
      </w:r>
      <w:r>
        <w:rPr>
          <w:rFonts w:eastAsia="仿宋_GB2312"/>
          <w:color w:val="auto"/>
          <w:sz w:val="32"/>
          <w:szCs w:val="32"/>
        </w:rPr>
        <w:t>。</w:t>
      </w:r>
      <w:r>
        <w:rPr>
          <w:rFonts w:hint="eastAsia" w:eastAsia="仿宋_GB2312"/>
          <w:color w:val="auto"/>
          <w:sz w:val="32"/>
          <w:szCs w:val="32"/>
          <w:lang w:val="zh-CN"/>
        </w:rPr>
        <w:t xml:space="preserve"> </w:t>
      </w:r>
    </w:p>
    <w:p>
      <w:pPr>
        <w:ind w:firstLine="640" w:firstLineChars="200"/>
        <w:rPr>
          <w:rFonts w:eastAsia="仿宋_GB2312"/>
          <w:color w:val="auto"/>
          <w:sz w:val="32"/>
          <w:szCs w:val="32"/>
          <w:lang w:val="zh-CN"/>
        </w:rPr>
      </w:pPr>
      <w:r>
        <w:rPr>
          <w:rFonts w:hint="eastAsia" w:eastAsia="仿宋_GB2312"/>
          <w:color w:val="auto"/>
          <w:sz w:val="32"/>
          <w:szCs w:val="32"/>
        </w:rPr>
        <w:t>7.教育支出（类）进修及培训（款）培训支出（项）:支出决算数为1.89万元，比上年决算增加0.15万元，增</w:t>
      </w:r>
      <w:r>
        <w:rPr>
          <w:rFonts w:hint="eastAsia" w:eastAsia="仿宋_GB2312"/>
          <w:color w:val="auto"/>
          <w:sz w:val="32"/>
          <w:szCs w:val="32"/>
          <w:lang w:eastAsia="zh-CN"/>
        </w:rPr>
        <w:t>长</w:t>
      </w:r>
      <w:r>
        <w:rPr>
          <w:rFonts w:hint="eastAsia" w:eastAsia="仿宋_GB2312"/>
          <w:color w:val="auto"/>
          <w:sz w:val="32"/>
          <w:szCs w:val="32"/>
        </w:rPr>
        <w:t>8.62%，主要原因是：为了进一步服务</w:t>
      </w:r>
      <w:r>
        <w:rPr>
          <w:rFonts w:hint="eastAsia" w:eastAsia="仿宋_GB2312"/>
          <w:color w:val="auto"/>
          <w:sz w:val="32"/>
          <w:szCs w:val="32"/>
          <w:lang w:eastAsia="zh-CN"/>
        </w:rPr>
        <w:t>好</w:t>
      </w:r>
      <w:r>
        <w:rPr>
          <w:rFonts w:hint="eastAsia" w:eastAsia="仿宋_GB2312"/>
          <w:color w:val="auto"/>
          <w:sz w:val="32"/>
          <w:szCs w:val="32"/>
        </w:rPr>
        <w:t>群众，增加了</w:t>
      </w:r>
      <w:r>
        <w:rPr>
          <w:rFonts w:eastAsia="仿宋_GB2312"/>
          <w:color w:val="auto"/>
          <w:sz w:val="32"/>
          <w:szCs w:val="32"/>
        </w:rPr>
        <w:t>人员集中培训支出</w:t>
      </w:r>
      <w:r>
        <w:rPr>
          <w:rFonts w:hint="eastAsia" w:eastAsia="仿宋_GB2312"/>
          <w:color w:val="auto"/>
          <w:sz w:val="32"/>
          <w:szCs w:val="32"/>
        </w:rPr>
        <w:t>。</w:t>
      </w:r>
    </w:p>
    <w:p>
      <w:pPr>
        <w:ind w:firstLine="640" w:firstLineChars="200"/>
        <w:rPr>
          <w:rFonts w:eastAsia="仿宋_GB2312"/>
          <w:color w:val="auto"/>
          <w:sz w:val="32"/>
          <w:szCs w:val="32"/>
          <w:lang w:val="zh-CN"/>
        </w:rPr>
      </w:pPr>
      <w:r>
        <w:rPr>
          <w:rFonts w:hint="eastAsia" w:eastAsia="仿宋_GB2312"/>
          <w:color w:val="auto"/>
          <w:sz w:val="32"/>
          <w:szCs w:val="32"/>
          <w:highlight w:val="none"/>
        </w:rPr>
        <w:t>8.社会保障和就业支出（类）行政事业单位养老支出（款）机关事业单位职业年金缴费支出（项）</w:t>
      </w:r>
      <w:r>
        <w:rPr>
          <w:rFonts w:hint="eastAsia" w:eastAsia="仿宋_GB2312"/>
          <w:color w:val="auto"/>
          <w:sz w:val="32"/>
          <w:szCs w:val="32"/>
        </w:rPr>
        <w:t>:支出决算数为6.09万元，比上年决算增加6.09万元，增长100%，主要原因是：</w:t>
      </w:r>
      <w:r>
        <w:rPr>
          <w:rFonts w:eastAsia="仿宋_GB2312"/>
          <w:color w:val="auto"/>
          <w:sz w:val="32"/>
          <w:szCs w:val="32"/>
        </w:rPr>
        <w:t>上年度</w:t>
      </w:r>
      <w:r>
        <w:rPr>
          <w:rFonts w:hint="eastAsia" w:eastAsia="仿宋_GB2312"/>
          <w:color w:val="auto"/>
          <w:sz w:val="32"/>
          <w:szCs w:val="32"/>
        </w:rPr>
        <w:t>未安排此科目预算</w:t>
      </w:r>
      <w:r>
        <w:rPr>
          <w:rFonts w:hint="eastAsia" w:eastAsia="仿宋_GB2312"/>
          <w:color w:val="auto"/>
          <w:sz w:val="32"/>
          <w:szCs w:val="32"/>
          <w:lang w:val="zh-CN"/>
        </w:rPr>
        <w:t>。</w:t>
      </w:r>
    </w:p>
    <w:p>
      <w:pPr>
        <w:ind w:firstLine="640" w:firstLineChars="200"/>
        <w:rPr>
          <w:rFonts w:eastAsia="仿宋_GB2312"/>
          <w:color w:val="auto"/>
          <w:sz w:val="32"/>
          <w:szCs w:val="32"/>
          <w:lang w:val="zh-CN"/>
        </w:rPr>
      </w:pPr>
      <w:r>
        <w:rPr>
          <w:rFonts w:hint="eastAsia" w:eastAsia="仿宋_GB2312"/>
          <w:color w:val="auto"/>
          <w:sz w:val="32"/>
          <w:szCs w:val="32"/>
        </w:rPr>
        <w:t>9.卫生健康支出（类）行政事业单位医疗（款）公务员医疗补助（项）:支出决算数为1.92万元，比上年决算增加0.25万元，增长14.97%，主要原因是：</w:t>
      </w:r>
      <w:bookmarkStart w:id="19" w:name="_Hlk174745117"/>
      <w:r>
        <w:rPr>
          <w:rFonts w:eastAsia="仿宋_GB2312"/>
          <w:color w:val="auto"/>
          <w:sz w:val="32"/>
          <w:szCs w:val="32"/>
        </w:rPr>
        <w:t>人员工资调整，社保基数提高</w:t>
      </w:r>
      <w:bookmarkEnd w:id="19"/>
      <w:r>
        <w:rPr>
          <w:rFonts w:hint="eastAsia" w:eastAsia="仿宋_GB2312"/>
          <w:color w:val="auto"/>
          <w:sz w:val="32"/>
          <w:szCs w:val="32"/>
          <w:lang w:val="zh-CN"/>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eastAsia="仿宋_GB2312"/>
          <w:color w:val="auto"/>
          <w:sz w:val="32"/>
          <w:szCs w:val="32"/>
        </w:rPr>
        <w:t>10.住房保障支出（类）住房改革支出（款）住房公积金（项）:支出决算数为27.84万元，比上年决算增加2.15万元，增长8.37%，主要原因是：</w:t>
      </w:r>
      <w:r>
        <w:rPr>
          <w:rFonts w:hint="eastAsia" w:ascii="仿宋_GB2312" w:hAnsi="Times New Roman" w:eastAsia="仿宋_GB2312" w:cs="Times New Roman"/>
          <w:color w:val="auto"/>
          <w:spacing w:val="0"/>
          <w:kern w:val="2"/>
          <w:sz w:val="32"/>
          <w:szCs w:val="32"/>
          <w:highlight w:val="none"/>
          <w:lang w:val="zh-CN" w:eastAsia="zh-CN" w:bidi="ar-SA"/>
        </w:rPr>
        <w:t>本年度人员公积金基数增加以及事业岗转三岗十八级工资增加导制公积金增加，</w:t>
      </w:r>
      <w:r>
        <w:rPr>
          <w:rFonts w:hint="eastAsia" w:ascii="仿宋_GB2312" w:hAnsi="Times New Roman" w:eastAsia="仿宋_GB2312" w:cs="Times New Roman"/>
          <w:color w:val="auto"/>
          <w:spacing w:val="0"/>
          <w:kern w:val="2"/>
          <w:sz w:val="32"/>
          <w:szCs w:val="32"/>
          <w:highlight w:val="none"/>
          <w:lang w:val="en-US" w:eastAsia="zh-CN" w:bidi="ar-SA"/>
        </w:rPr>
        <w:t>经费增加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ind w:firstLine="640" w:firstLineChars="200"/>
        <w:rPr>
          <w:rFonts w:eastAsia="仿宋_GB2312"/>
          <w:color w:val="auto"/>
          <w:sz w:val="32"/>
          <w:szCs w:val="32"/>
          <w:lang w:val="zh-CN"/>
        </w:rPr>
      </w:pPr>
      <w:r>
        <w:rPr>
          <w:rFonts w:hint="eastAsia" w:eastAsia="仿宋_GB2312"/>
          <w:color w:val="auto"/>
          <w:sz w:val="32"/>
          <w:szCs w:val="32"/>
        </w:rPr>
        <w:t>11.一般公共服务支出（类）纪检监察事务（款）其他纪检监察事务支出（项）:支出决算数为1.93万元，比上年决算增加</w:t>
      </w:r>
      <w:r>
        <w:rPr>
          <w:rFonts w:hint="eastAsia" w:eastAsia="仿宋_GB2312"/>
          <w:color w:val="auto"/>
          <w:sz w:val="32"/>
          <w:szCs w:val="32"/>
          <w:lang w:val="en-US" w:eastAsia="zh-CN"/>
        </w:rPr>
        <w:t>1.36</w:t>
      </w:r>
      <w:r>
        <w:rPr>
          <w:rFonts w:hint="eastAsia" w:eastAsia="仿宋_GB2312"/>
          <w:color w:val="auto"/>
          <w:sz w:val="32"/>
          <w:szCs w:val="32"/>
        </w:rPr>
        <w:t>万元，增长</w:t>
      </w:r>
      <w:r>
        <w:rPr>
          <w:rFonts w:hint="eastAsia" w:eastAsia="仿宋_GB2312"/>
          <w:color w:val="auto"/>
          <w:sz w:val="32"/>
          <w:szCs w:val="32"/>
          <w:lang w:val="en-US" w:eastAsia="zh-CN"/>
        </w:rPr>
        <w:t>238.60</w:t>
      </w:r>
      <w:r>
        <w:rPr>
          <w:rFonts w:hint="eastAsia" w:eastAsia="仿宋_GB2312"/>
          <w:color w:val="auto"/>
          <w:sz w:val="32"/>
          <w:szCs w:val="32"/>
        </w:rPr>
        <w:t>%，主要原因是：纪检监察事务</w:t>
      </w:r>
      <w:r>
        <w:rPr>
          <w:rFonts w:hint="eastAsia" w:eastAsia="仿宋_GB2312"/>
          <w:color w:val="auto"/>
          <w:sz w:val="32"/>
          <w:szCs w:val="32"/>
          <w:lang w:eastAsia="zh-CN"/>
        </w:rPr>
        <w:t>专项</w:t>
      </w:r>
      <w:r>
        <w:rPr>
          <w:rFonts w:hint="eastAsia" w:eastAsia="仿宋_GB2312"/>
          <w:color w:val="auto"/>
          <w:sz w:val="32"/>
          <w:szCs w:val="32"/>
        </w:rPr>
        <w:t>支出</w:t>
      </w:r>
      <w:r>
        <w:rPr>
          <w:rFonts w:hint="eastAsia" w:eastAsia="仿宋_GB2312"/>
          <w:color w:val="auto"/>
          <w:sz w:val="32"/>
          <w:szCs w:val="32"/>
          <w:lang w:eastAsia="zh-CN"/>
        </w:rPr>
        <w:t>金额增加</w:t>
      </w:r>
      <w:r>
        <w:rPr>
          <w:rFonts w:hint="eastAsia" w:eastAsia="仿宋_GB2312"/>
          <w:color w:val="auto"/>
          <w:sz w:val="32"/>
          <w:szCs w:val="32"/>
          <w:lang w:val="zh-CN"/>
        </w:rPr>
        <w:t>。</w:t>
      </w:r>
    </w:p>
    <w:p>
      <w:pPr>
        <w:ind w:firstLine="640" w:firstLineChars="200"/>
        <w:jc w:val="left"/>
        <w:outlineLvl w:val="1"/>
        <w:rPr>
          <w:rFonts w:eastAsia="仿宋_GB2312"/>
          <w:color w:val="auto"/>
          <w:sz w:val="32"/>
          <w:szCs w:val="32"/>
        </w:rPr>
      </w:pPr>
      <w:r>
        <w:rPr>
          <w:rFonts w:hint="eastAsia" w:eastAsia="仿宋_GB2312"/>
          <w:color w:val="auto"/>
          <w:sz w:val="32"/>
          <w:szCs w:val="32"/>
        </w:rPr>
        <w:t>12.</w:t>
      </w:r>
      <w:r>
        <w:rPr>
          <w:rFonts w:eastAsia="方正仿宋_GBK"/>
          <w:color w:val="auto"/>
          <w:kern w:val="0"/>
          <w:sz w:val="31"/>
          <w:szCs w:val="31"/>
        </w:rPr>
        <w:t xml:space="preserve"> </w:t>
      </w:r>
      <w:r>
        <w:rPr>
          <w:rFonts w:eastAsia="仿宋_GB2312"/>
          <w:color w:val="auto"/>
          <w:sz w:val="32"/>
          <w:szCs w:val="32"/>
        </w:rPr>
        <w:t>卫生健康支出（类）公共卫生（款）突发公共卫生事件应急处理（项）:支出决算数为</w:t>
      </w:r>
      <w:r>
        <w:rPr>
          <w:rFonts w:hint="eastAsia" w:eastAsia="仿宋_GB2312"/>
          <w:color w:val="auto"/>
          <w:sz w:val="32"/>
          <w:szCs w:val="32"/>
        </w:rPr>
        <w:t>0</w:t>
      </w:r>
      <w:r>
        <w:rPr>
          <w:rFonts w:eastAsia="仿宋_GB2312"/>
          <w:color w:val="auto"/>
          <w:sz w:val="32"/>
          <w:szCs w:val="32"/>
        </w:rPr>
        <w:t>万元，比上年决算</w:t>
      </w:r>
      <w:r>
        <w:rPr>
          <w:rFonts w:hint="eastAsia" w:eastAsia="仿宋_GB2312"/>
          <w:color w:val="auto"/>
          <w:sz w:val="32"/>
          <w:szCs w:val="32"/>
        </w:rPr>
        <w:t>减少</w:t>
      </w:r>
      <w:r>
        <w:rPr>
          <w:rFonts w:eastAsia="仿宋_GB2312"/>
          <w:color w:val="auto"/>
          <w:sz w:val="32"/>
          <w:szCs w:val="32"/>
        </w:rPr>
        <w:t>3.81万元，</w:t>
      </w:r>
      <w:r>
        <w:rPr>
          <w:rFonts w:hint="eastAsia" w:eastAsia="仿宋_GB2312"/>
          <w:color w:val="auto"/>
          <w:sz w:val="32"/>
          <w:szCs w:val="32"/>
          <w:lang w:eastAsia="zh-CN"/>
        </w:rPr>
        <w:t>下降</w:t>
      </w:r>
      <w:r>
        <w:rPr>
          <w:rFonts w:eastAsia="仿宋_GB2312"/>
          <w:color w:val="auto"/>
          <w:sz w:val="32"/>
          <w:szCs w:val="32"/>
        </w:rPr>
        <w:t>100%，主要原因是：</w:t>
      </w:r>
      <w:r>
        <w:rPr>
          <w:rFonts w:hint="eastAsia" w:eastAsia="仿宋_GB2312"/>
          <w:color w:val="auto"/>
          <w:sz w:val="32"/>
          <w:szCs w:val="32"/>
        </w:rPr>
        <w:t>本</w:t>
      </w:r>
      <w:r>
        <w:rPr>
          <w:rFonts w:eastAsia="仿宋_GB2312"/>
          <w:color w:val="auto"/>
          <w:sz w:val="32"/>
          <w:szCs w:val="32"/>
        </w:rPr>
        <w:t>年度</w:t>
      </w:r>
      <w:r>
        <w:rPr>
          <w:rFonts w:hint="eastAsia" w:eastAsia="仿宋_GB2312"/>
          <w:color w:val="auto"/>
          <w:sz w:val="32"/>
          <w:szCs w:val="32"/>
        </w:rPr>
        <w:t>未安排此科目预算</w:t>
      </w:r>
      <w:r>
        <w:rPr>
          <w:rFonts w:eastAsia="仿宋_GB2312"/>
          <w:color w:val="auto"/>
          <w:sz w:val="32"/>
          <w:szCs w:val="32"/>
        </w:rPr>
        <w:t>。</w:t>
      </w:r>
    </w:p>
    <w:p>
      <w:pPr>
        <w:spacing w:line="600" w:lineRule="exact"/>
        <w:ind w:firstLine="640" w:firstLineChars="200"/>
        <w:rPr>
          <w:rFonts w:eastAsia="仿宋_GB2312"/>
          <w:color w:val="auto"/>
          <w:sz w:val="32"/>
          <w:szCs w:val="32"/>
        </w:rPr>
      </w:pPr>
      <w:r>
        <w:rPr>
          <w:rFonts w:hint="eastAsia" w:eastAsia="仿宋_GB2312"/>
          <w:color w:val="auto"/>
          <w:sz w:val="32"/>
          <w:szCs w:val="32"/>
        </w:rPr>
        <w:t>13</w:t>
      </w:r>
      <w:r>
        <w:rPr>
          <w:rFonts w:eastAsia="仿宋_GB2312"/>
          <w:color w:val="auto"/>
          <w:sz w:val="32"/>
          <w:szCs w:val="32"/>
        </w:rPr>
        <w:t>国防支出（类）国防支出（款）民兵（项）:支出决算数为</w:t>
      </w:r>
      <w:r>
        <w:rPr>
          <w:rFonts w:hint="eastAsia" w:eastAsia="仿宋_GB2312"/>
          <w:color w:val="auto"/>
          <w:sz w:val="32"/>
          <w:szCs w:val="32"/>
        </w:rPr>
        <w:t>0</w:t>
      </w:r>
      <w:r>
        <w:rPr>
          <w:rFonts w:eastAsia="仿宋_GB2312"/>
          <w:color w:val="auto"/>
          <w:sz w:val="32"/>
          <w:szCs w:val="32"/>
        </w:rPr>
        <w:t>万元，比上年决算减少</w:t>
      </w:r>
      <w:r>
        <w:rPr>
          <w:rFonts w:hint="eastAsia" w:eastAsia="仿宋_GB2312"/>
          <w:color w:val="auto"/>
          <w:sz w:val="32"/>
          <w:szCs w:val="32"/>
        </w:rPr>
        <w:t>2.08</w:t>
      </w:r>
      <w:r>
        <w:rPr>
          <w:rFonts w:eastAsia="仿宋_GB2312"/>
          <w:color w:val="auto"/>
          <w:sz w:val="32"/>
          <w:szCs w:val="32"/>
        </w:rPr>
        <w:t>万元，下降</w:t>
      </w:r>
      <w:r>
        <w:rPr>
          <w:rFonts w:hint="eastAsia" w:eastAsia="仿宋_GB2312"/>
          <w:color w:val="auto"/>
          <w:sz w:val="32"/>
          <w:szCs w:val="32"/>
        </w:rPr>
        <w:t>100</w:t>
      </w:r>
      <w:r>
        <w:rPr>
          <w:rFonts w:eastAsia="仿宋_GB2312"/>
          <w:color w:val="auto"/>
          <w:sz w:val="32"/>
          <w:szCs w:val="32"/>
        </w:rPr>
        <w:t>%，主要原因是：取消了民兵巡逻，节约了民兵补贴支出。</w:t>
      </w:r>
    </w:p>
    <w:p>
      <w:pPr>
        <w:numPr>
          <w:ilvl w:val="0"/>
          <w:numId w:val="2"/>
        </w:numPr>
        <w:spacing w:line="600" w:lineRule="exact"/>
        <w:ind w:firstLine="640" w:firstLineChars="200"/>
        <w:rPr>
          <w:rFonts w:eastAsia="仿宋_GB2312"/>
          <w:color w:val="auto"/>
          <w:sz w:val="32"/>
          <w:szCs w:val="32"/>
        </w:rPr>
      </w:pPr>
      <w:r>
        <w:rPr>
          <w:rFonts w:eastAsia="仿宋_GB2312"/>
          <w:color w:val="auto"/>
          <w:sz w:val="32"/>
          <w:szCs w:val="32"/>
        </w:rPr>
        <w:t>文化旅游体育与传媒支出（类）其他文化旅游体育与传媒支出（款）其他文化旅游体育与传媒支出（项）：支出决算数为</w:t>
      </w:r>
      <w:r>
        <w:rPr>
          <w:rFonts w:hint="eastAsia" w:eastAsia="仿宋_GB2312"/>
          <w:color w:val="auto"/>
          <w:sz w:val="32"/>
          <w:szCs w:val="32"/>
        </w:rPr>
        <w:t>0</w:t>
      </w:r>
      <w:r>
        <w:rPr>
          <w:rFonts w:eastAsia="仿宋_GB2312"/>
          <w:color w:val="auto"/>
          <w:sz w:val="32"/>
          <w:szCs w:val="32"/>
        </w:rPr>
        <w:t>万元，比上年决算</w:t>
      </w:r>
      <w:r>
        <w:rPr>
          <w:rFonts w:hint="eastAsia" w:eastAsia="仿宋_GB2312"/>
          <w:color w:val="auto"/>
          <w:sz w:val="32"/>
          <w:szCs w:val="32"/>
        </w:rPr>
        <w:t>减少</w:t>
      </w:r>
      <w:r>
        <w:rPr>
          <w:rFonts w:eastAsia="仿宋_GB2312"/>
          <w:color w:val="auto"/>
          <w:sz w:val="32"/>
          <w:szCs w:val="32"/>
        </w:rPr>
        <w:t>0.30万元，</w:t>
      </w:r>
      <w:r>
        <w:rPr>
          <w:rFonts w:hint="eastAsia" w:eastAsia="仿宋_GB2312"/>
          <w:color w:val="auto"/>
          <w:sz w:val="32"/>
          <w:szCs w:val="32"/>
          <w:lang w:eastAsia="zh-CN"/>
        </w:rPr>
        <w:t>下降</w:t>
      </w:r>
      <w:r>
        <w:rPr>
          <w:rFonts w:eastAsia="仿宋_GB2312"/>
          <w:color w:val="auto"/>
          <w:sz w:val="32"/>
          <w:szCs w:val="32"/>
        </w:rPr>
        <w:t>100%，主要原因是：</w:t>
      </w:r>
      <w:r>
        <w:rPr>
          <w:rFonts w:hint="eastAsia" w:eastAsia="仿宋_GB2312"/>
          <w:color w:val="auto"/>
          <w:sz w:val="32"/>
          <w:szCs w:val="32"/>
        </w:rPr>
        <w:t>本年未开展文化活动，没有相应费用产生</w:t>
      </w:r>
      <w:r>
        <w:rPr>
          <w:rFonts w:eastAsia="仿宋_GB2312"/>
          <w:color w:val="auto"/>
          <w:sz w:val="32"/>
          <w:szCs w:val="32"/>
        </w:rPr>
        <w:t>。</w:t>
      </w:r>
    </w:p>
    <w:p>
      <w:pPr>
        <w:numPr>
          <w:ilvl w:val="0"/>
          <w:numId w:val="2"/>
        </w:numPr>
        <w:spacing w:line="600" w:lineRule="exact"/>
        <w:ind w:firstLine="640" w:firstLineChars="200"/>
        <w:rPr>
          <w:rFonts w:eastAsia="仿宋_GB2312"/>
          <w:color w:val="auto"/>
          <w:sz w:val="32"/>
          <w:szCs w:val="32"/>
        </w:rPr>
      </w:pPr>
      <w:r>
        <w:rPr>
          <w:rFonts w:hint="default" w:ascii="Times New Roman" w:hAnsi="Times New Roman" w:eastAsia="仿宋_GB2312" w:cs="Times New Roman"/>
          <w:color w:val="auto"/>
          <w:sz w:val="32"/>
          <w:szCs w:val="32"/>
          <w:lang w:val="en-US" w:eastAsia="zh-CN"/>
        </w:rPr>
        <w:t>一般公共服务支出（类）政府办公厅（室）及相关机构事务（款）其他政府办公厅（室）及相关机构事务支出（项）:支出决算数为</w:t>
      </w:r>
      <w:r>
        <w:rPr>
          <w:rFonts w:hint="eastAsia"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val="en-US" w:eastAsia="zh-CN"/>
        </w:rPr>
        <w:t>万元，比上年决算</w:t>
      </w:r>
      <w:r>
        <w:rPr>
          <w:rFonts w:hint="eastAsia" w:ascii="Times New Roman" w:hAnsi="Times New Roman" w:eastAsia="仿宋_GB2312" w:cs="Times New Roman"/>
          <w:color w:val="auto"/>
          <w:sz w:val="32"/>
          <w:szCs w:val="32"/>
          <w:lang w:val="en-US" w:eastAsia="zh-CN"/>
        </w:rPr>
        <w:t>减少35.8</w:t>
      </w:r>
      <w:r>
        <w:rPr>
          <w:rFonts w:hint="default" w:ascii="Times New Roman" w:hAnsi="Times New Roman" w:eastAsia="仿宋_GB2312" w:cs="Times New Roman"/>
          <w:color w:val="auto"/>
          <w:sz w:val="32"/>
          <w:szCs w:val="32"/>
          <w:lang w:val="en-US" w:eastAsia="zh-CN"/>
        </w:rPr>
        <w:t>万元，</w:t>
      </w:r>
      <w:r>
        <w:rPr>
          <w:rFonts w:hint="eastAsia" w:ascii="Times New Roman" w:hAnsi="Times New Roman" w:eastAsia="仿宋_GB2312" w:cs="Times New Roman"/>
          <w:color w:val="auto"/>
          <w:sz w:val="32"/>
          <w:szCs w:val="32"/>
          <w:lang w:val="en-US" w:eastAsia="zh-CN"/>
        </w:rPr>
        <w:t>下降100</w:t>
      </w:r>
      <w:r>
        <w:rPr>
          <w:rFonts w:hint="default" w:ascii="Times New Roman" w:hAnsi="Times New Roman" w:eastAsia="仿宋_GB2312" w:cs="Times New Roman"/>
          <w:color w:val="auto"/>
          <w:sz w:val="32"/>
          <w:szCs w:val="32"/>
          <w:lang w:val="en-US" w:eastAsia="zh-CN"/>
        </w:rPr>
        <w:t>%，主要原因是：</w:t>
      </w:r>
      <w:r>
        <w:rPr>
          <w:rFonts w:hint="eastAsia" w:eastAsia="仿宋_GB2312"/>
          <w:color w:val="auto"/>
          <w:sz w:val="32"/>
          <w:szCs w:val="32"/>
          <w:lang w:eastAsia="zh-CN"/>
        </w:rPr>
        <w:t>本</w:t>
      </w:r>
      <w:r>
        <w:rPr>
          <w:rFonts w:eastAsia="仿宋_GB2312"/>
          <w:color w:val="auto"/>
          <w:sz w:val="32"/>
          <w:szCs w:val="32"/>
        </w:rPr>
        <w:t>年度</w:t>
      </w:r>
      <w:r>
        <w:rPr>
          <w:rFonts w:hint="eastAsia" w:eastAsia="仿宋_GB2312"/>
          <w:color w:val="auto"/>
          <w:sz w:val="32"/>
          <w:szCs w:val="32"/>
        </w:rPr>
        <w:t>未安排此科目预算</w:t>
      </w:r>
      <w:r>
        <w:rPr>
          <w:rFonts w:hint="eastAsia" w:eastAsia="仿宋_GB2312"/>
          <w:color w:val="auto"/>
          <w:sz w:val="32"/>
          <w:szCs w:val="32"/>
          <w:lang w:val="zh-CN"/>
        </w:rPr>
        <w:t>。</w:t>
      </w:r>
    </w:p>
    <w:p>
      <w:pPr>
        <w:ind w:firstLine="640" w:firstLineChars="200"/>
        <w:jc w:val="left"/>
        <w:outlineLvl w:val="1"/>
        <w:rPr>
          <w:rFonts w:hint="eastAsia" w:eastAsia="仿宋_GB2312"/>
          <w:color w:val="auto"/>
          <w:sz w:val="32"/>
          <w:szCs w:val="32"/>
        </w:rPr>
      </w:pPr>
    </w:p>
    <w:p>
      <w:pPr>
        <w:ind w:firstLine="640" w:firstLineChars="200"/>
        <w:jc w:val="left"/>
        <w:outlineLvl w:val="1"/>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六、一般公共预算财政拨款基本支出决算情况说明</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一般公共预算财政拨款基本支出767.44万元，其中：人员经费751.69万元，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pPr>
        <w:ind w:firstLine="640" w:firstLineChars="200"/>
        <w:jc w:val="left"/>
        <w:rPr>
          <w:rFonts w:hint="eastAsia" w:ascii="仿宋_GB2312" w:eastAsia="仿宋_GB2312"/>
          <w:color w:val="auto"/>
          <w:sz w:val="32"/>
          <w:szCs w:val="32"/>
          <w:highlight w:val="none"/>
          <w:lang w:eastAsia="zh-CN"/>
        </w:rPr>
      </w:pPr>
      <w:r>
        <w:rPr>
          <w:rFonts w:hint="eastAsia" w:ascii="仿宋_GB2312" w:eastAsia="仿宋_GB2312"/>
          <w:color w:val="auto"/>
          <w:sz w:val="32"/>
          <w:szCs w:val="32"/>
        </w:rPr>
        <w:t xml:space="preserve">公用经费15.76万元，包括：办公费、水费、电费、取暖费、培训费、工会经费、公务用车运行维护费、办公设备购置 </w:t>
      </w:r>
      <w:r>
        <w:rPr>
          <w:rFonts w:hint="eastAsia" w:ascii="仿宋_GB2312" w:eastAsia="仿宋_GB2312"/>
          <w:color w:val="auto"/>
          <w:sz w:val="32"/>
          <w:szCs w:val="32"/>
          <w:highlight w:val="none"/>
        </w:rPr>
        <w:t>。</w:t>
      </w:r>
    </w:p>
    <w:p>
      <w:pPr>
        <w:ind w:firstLine="640" w:firstLineChars="200"/>
        <w:jc w:val="left"/>
        <w:outlineLvl w:val="1"/>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七、财政拨款“三公”经费支出决算情况说明</w:t>
      </w:r>
    </w:p>
    <w:p>
      <w:pPr>
        <w:ind w:firstLine="640" w:firstLineChars="200"/>
        <w:jc w:val="left"/>
        <w:rPr>
          <w:rFonts w:hint="eastAsia" w:ascii="仿宋_GB2312" w:hAnsi="Times New Roman" w:eastAsia="仿宋_GB2312" w:cs="Times New Roman"/>
          <w:color w:val="auto"/>
          <w:sz w:val="32"/>
          <w:szCs w:val="32"/>
          <w:highlight w:val="none"/>
          <w:lang w:eastAsia="zh-CN"/>
        </w:rPr>
      </w:pPr>
      <w:r>
        <w:rPr>
          <w:rFonts w:hint="eastAsia" w:ascii="仿宋_GB2312" w:eastAsia="仿宋_GB2312"/>
          <w:color w:val="auto"/>
          <w:sz w:val="32"/>
          <w:szCs w:val="32"/>
          <w:lang w:val="zh-CN"/>
        </w:rPr>
        <w:t>2023年度</w:t>
      </w:r>
      <w:r>
        <w:rPr>
          <w:rFonts w:hint="eastAsia" w:ascii="仿宋_GB2312" w:eastAsia="仿宋_GB2312"/>
          <w:color w:val="auto"/>
          <w:sz w:val="32"/>
          <w:szCs w:val="32"/>
        </w:rPr>
        <w:t>财政拨款</w:t>
      </w:r>
      <w:r>
        <w:rPr>
          <w:rFonts w:hint="eastAsia" w:ascii="仿宋_GB2312" w:eastAsia="仿宋_GB2312"/>
          <w:color w:val="auto"/>
          <w:sz w:val="32"/>
          <w:szCs w:val="32"/>
          <w:lang w:val="zh-CN"/>
        </w:rPr>
        <w:t>“三公”经费支出3.21万元，</w:t>
      </w:r>
      <w:r>
        <w:rPr>
          <w:rFonts w:hint="eastAsia" w:ascii="仿宋_GB2312" w:eastAsia="仿宋_GB2312"/>
          <w:color w:val="auto"/>
          <w:sz w:val="32"/>
          <w:szCs w:val="32"/>
        </w:rPr>
        <w:t>比上年</w:t>
      </w:r>
      <w:r>
        <w:rPr>
          <w:rFonts w:hint="eastAsia" w:ascii="仿宋_GB2312" w:eastAsia="仿宋_GB2312"/>
          <w:color w:val="auto"/>
          <w:sz w:val="32"/>
          <w:szCs w:val="32"/>
          <w:lang w:val="zh-CN"/>
        </w:rPr>
        <w:t>增加3.21万元，增长100.00%，主要原因是：</w:t>
      </w:r>
      <w:r>
        <w:rPr>
          <w:rFonts w:hint="eastAsia" w:ascii="仿宋_GB2312" w:eastAsia="仿宋_GB2312"/>
          <w:color w:val="auto"/>
          <w:spacing w:val="0"/>
          <w:sz w:val="32"/>
          <w:szCs w:val="32"/>
          <w:highlight w:val="none"/>
          <w:lang w:val="en-US" w:eastAsia="zh-CN"/>
        </w:rPr>
        <w:t>2022</w:t>
      </w:r>
      <w:r>
        <w:rPr>
          <w:rFonts w:hint="eastAsia" w:ascii="仿宋_GB2312" w:eastAsia="仿宋_GB2312"/>
          <w:color w:val="auto"/>
          <w:spacing w:val="0"/>
          <w:sz w:val="32"/>
          <w:szCs w:val="32"/>
          <w:highlight w:val="none"/>
          <w:lang w:eastAsia="zh-CN"/>
        </w:rPr>
        <w:t>年度无此项支出，因此增长</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hAnsi="Times New Roman" w:eastAsia="仿宋_GB2312" w:cs="Times New Roman"/>
          <w:color w:val="auto"/>
          <w:sz w:val="32"/>
          <w:szCs w:val="32"/>
          <w:highlight w:val="none"/>
          <w:lang w:eastAsia="zh-CN"/>
        </w:rPr>
        <w:t>公务用车购置及运行维护费支出3.21万元，占100.00%，比上年增加3.21万元，增长100.00%，</w:t>
      </w:r>
      <w:r>
        <w:rPr>
          <w:rFonts w:hint="default" w:ascii="仿宋_GB2312" w:hAnsi="Times New Roman" w:eastAsia="仿宋_GB2312" w:cs="Times New Roman"/>
          <w:color w:val="auto"/>
          <w:sz w:val="32"/>
          <w:szCs w:val="32"/>
          <w:highlight w:val="none"/>
          <w:lang w:eastAsia="zh-CN"/>
        </w:rPr>
        <w:t>其中：因公出国（境）费支出</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万元，占</w:t>
      </w:r>
      <w:r>
        <w:rPr>
          <w:rFonts w:hint="default" w:ascii="仿宋_GB2312" w:hAnsi="Times New Roman" w:eastAsia="仿宋_GB2312" w:cs="Times New Roman"/>
          <w:color w:val="auto"/>
          <w:sz w:val="32"/>
          <w:szCs w:val="32"/>
          <w:highlight w:val="none"/>
          <w:lang w:val="en-US" w:eastAsia="zh-CN"/>
        </w:rPr>
        <w:t>0</w:t>
      </w:r>
      <w:r>
        <w:rPr>
          <w:rFonts w:hint="default" w:ascii="仿宋_GB2312" w:hAnsi="Times New Roman" w:eastAsia="仿宋_GB2312" w:cs="Times New Roman"/>
          <w:color w:val="auto"/>
          <w:sz w:val="32"/>
          <w:szCs w:val="32"/>
          <w:highlight w:val="none"/>
          <w:lang w:eastAsia="zh-CN"/>
        </w:rPr>
        <w:t>%，比上年增加</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万元，增长</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%，主要原因是：</w:t>
      </w:r>
      <w:r>
        <w:rPr>
          <w:rFonts w:hint="eastAsia" w:ascii="仿宋_GB2312" w:hAnsi="Times New Roman" w:eastAsia="仿宋_GB2312" w:cs="Times New Roman"/>
          <w:color w:val="auto"/>
          <w:sz w:val="32"/>
          <w:szCs w:val="32"/>
          <w:highlight w:val="none"/>
          <w:lang w:eastAsia="zh-CN"/>
        </w:rPr>
        <w:t>我单位</w:t>
      </w:r>
      <w:r>
        <w:rPr>
          <w:rFonts w:hint="default" w:ascii="仿宋_GB2312" w:hAnsi="Times New Roman" w:eastAsia="仿宋_GB2312" w:cs="Times New Roman"/>
          <w:color w:val="auto"/>
          <w:sz w:val="32"/>
          <w:szCs w:val="32"/>
          <w:highlight w:val="none"/>
          <w:lang w:val="en-US" w:eastAsia="zh-CN"/>
        </w:rPr>
        <w:t>无因公出国（境）</w:t>
      </w:r>
      <w:r>
        <w:rPr>
          <w:rFonts w:hint="eastAsia" w:ascii="仿宋_GB2312" w:hAnsi="Times New Roman" w:eastAsia="仿宋_GB2312" w:cs="Times New Roman"/>
          <w:color w:val="auto"/>
          <w:sz w:val="32"/>
          <w:szCs w:val="32"/>
          <w:highlight w:val="none"/>
          <w:lang w:val="en-US" w:eastAsia="zh-CN"/>
        </w:rPr>
        <w:t>支出</w:t>
      </w:r>
      <w:r>
        <w:rPr>
          <w:rFonts w:hint="default" w:ascii="仿宋_GB2312" w:hAnsi="Times New Roman" w:eastAsia="仿宋_GB2312" w:cs="Times New Roman"/>
          <w:color w:val="auto"/>
          <w:sz w:val="32"/>
          <w:szCs w:val="32"/>
          <w:highlight w:val="none"/>
          <w:lang w:eastAsia="zh-CN"/>
        </w:rPr>
        <w:t>；公务用车购置及运行维护费支出</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万元，占</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%，比上年增加</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万元，增长</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%，主要原因是：</w:t>
      </w:r>
      <w:r>
        <w:rPr>
          <w:rFonts w:hint="eastAsia" w:ascii="仿宋_GB2312" w:hAnsi="Times New Roman" w:eastAsia="仿宋_GB2312" w:cs="Times New Roman"/>
          <w:color w:val="auto"/>
          <w:sz w:val="32"/>
          <w:szCs w:val="32"/>
          <w:highlight w:val="none"/>
          <w:lang w:eastAsia="zh-CN"/>
        </w:rPr>
        <w:t>我单位无公务用车购置和运行维护费的支出</w:t>
      </w:r>
      <w:r>
        <w:rPr>
          <w:rFonts w:hint="default" w:ascii="仿宋_GB2312" w:hAnsi="Times New Roman" w:eastAsia="仿宋_GB2312" w:cs="Times New Roman"/>
          <w:color w:val="auto"/>
          <w:sz w:val="32"/>
          <w:szCs w:val="32"/>
          <w:highlight w:val="none"/>
          <w:lang w:eastAsia="zh-CN"/>
        </w:rPr>
        <w:t>；公务接待费支出</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万元，占</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%，比上年增加</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万元，增长</w:t>
      </w:r>
      <w:r>
        <w:rPr>
          <w:rFonts w:hint="default"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%，主要原因是：</w:t>
      </w:r>
      <w:r>
        <w:rPr>
          <w:rFonts w:hint="eastAsia" w:ascii="仿宋_GB2312" w:hAnsi="Times New Roman" w:eastAsia="仿宋_GB2312" w:cs="Times New Roman"/>
          <w:color w:val="auto"/>
          <w:sz w:val="32"/>
          <w:szCs w:val="32"/>
          <w:highlight w:val="none"/>
          <w:lang w:eastAsia="zh-CN"/>
        </w:rPr>
        <w:t>我单位</w:t>
      </w:r>
      <w:r>
        <w:rPr>
          <w:rFonts w:hint="default" w:ascii="仿宋_GB2312" w:hAnsi="Times New Roman" w:eastAsia="仿宋_GB2312" w:cs="Times New Roman"/>
          <w:color w:val="auto"/>
          <w:sz w:val="32"/>
          <w:szCs w:val="32"/>
          <w:highlight w:val="none"/>
          <w:lang w:eastAsia="zh-CN"/>
        </w:rPr>
        <w:t>无公务接待</w:t>
      </w:r>
      <w:r>
        <w:rPr>
          <w:rFonts w:hint="eastAsia" w:ascii="仿宋_GB2312" w:hAnsi="Times New Roman" w:eastAsia="仿宋_GB2312" w:cs="Times New Roman"/>
          <w:color w:val="auto"/>
          <w:sz w:val="32"/>
          <w:szCs w:val="32"/>
          <w:highlight w:val="none"/>
          <w:lang w:eastAsia="zh-CN"/>
        </w:rPr>
        <w:t>支出</w:t>
      </w:r>
      <w:r>
        <w:rPr>
          <w:rFonts w:hint="default" w:ascii="仿宋_GB2312" w:hAnsi="Times New Roman" w:eastAsia="仿宋_GB2312" w:cs="Times New Roman"/>
          <w:color w:val="auto"/>
          <w:sz w:val="32"/>
          <w:szCs w:val="32"/>
          <w:highlight w:val="none"/>
          <w:lang w:eastAsia="zh-CN"/>
        </w:rPr>
        <w:t>。具体情况如下</w:t>
      </w:r>
      <w:r>
        <w:rPr>
          <w:rFonts w:hint="eastAsia" w:ascii="仿宋_GB2312" w:eastAsia="仿宋_GB2312" w:cs="Times New Roman"/>
          <w:color w:val="auto"/>
          <w:sz w:val="32"/>
          <w:szCs w:val="32"/>
          <w:highlight w:val="none"/>
          <w:lang w:eastAsia="zh-CN"/>
        </w:rPr>
        <w:t>：</w:t>
      </w:r>
    </w:p>
    <w:p>
      <w:pPr>
        <w:ind w:firstLine="640" w:firstLineChars="200"/>
        <w:jc w:val="left"/>
        <w:rPr>
          <w:rFonts w:hint="default" w:ascii="仿宋_GB2312" w:hAnsi="Times New Roman" w:eastAsia="仿宋_GB2312" w:cs="Times New Roman"/>
          <w:color w:val="auto"/>
          <w:sz w:val="32"/>
          <w:szCs w:val="32"/>
          <w:highlight w:val="none"/>
          <w:lang w:eastAsia="zh-CN"/>
        </w:rPr>
      </w:pPr>
      <w:r>
        <w:rPr>
          <w:rFonts w:hint="default" w:ascii="仿宋_GB2312" w:hAnsi="Times New Roman" w:eastAsia="仿宋_GB2312" w:cs="Times New Roman"/>
          <w:color w:val="auto"/>
          <w:sz w:val="32"/>
          <w:szCs w:val="32"/>
          <w:highlight w:val="none"/>
          <w:lang w:eastAsia="zh-CN"/>
        </w:rPr>
        <w:t>因公出国（境）费支出0</w:t>
      </w:r>
      <w:r>
        <w:rPr>
          <w:rFonts w:hint="eastAsia" w:ascii="仿宋_GB2312" w:eastAsia="仿宋_GB2312" w:cs="Times New Roman"/>
          <w:color w:val="auto"/>
          <w:sz w:val="32"/>
          <w:szCs w:val="32"/>
          <w:highlight w:val="none"/>
          <w:lang w:val="en-US" w:eastAsia="zh-CN"/>
        </w:rPr>
        <w:t>.00</w:t>
      </w:r>
      <w:r>
        <w:rPr>
          <w:rFonts w:hint="default" w:ascii="仿宋_GB2312" w:hAnsi="Times New Roman" w:eastAsia="仿宋_GB2312" w:cs="Times New Roman"/>
          <w:color w:val="auto"/>
          <w:sz w:val="32"/>
          <w:szCs w:val="32"/>
          <w:highlight w:val="none"/>
          <w:lang w:eastAsia="zh-CN"/>
        </w:rPr>
        <w:t>万元，</w:t>
      </w:r>
      <w:r>
        <w:rPr>
          <w:rFonts w:hint="eastAsia" w:ascii="仿宋_GB2312" w:eastAsia="仿宋_GB2312"/>
          <w:color w:val="auto"/>
          <w:sz w:val="32"/>
          <w:szCs w:val="32"/>
          <w:highlight w:val="none"/>
          <w:lang w:val="en-US" w:eastAsia="zh-CN"/>
        </w:rPr>
        <w:t>本年未安排</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w:t>
      </w:r>
      <w:r>
        <w:rPr>
          <w:rFonts w:hint="default" w:ascii="仿宋_GB2312" w:hAnsi="Times New Roman" w:eastAsia="仿宋_GB2312" w:cs="Times New Roman"/>
          <w:color w:val="auto"/>
          <w:sz w:val="32"/>
          <w:szCs w:val="32"/>
          <w:highlight w:val="none"/>
          <w:lang w:eastAsia="zh-CN"/>
        </w:rPr>
        <w:t>单位全年安排的因公出国（境）团组0个，因公出国（境）0人次。</w:t>
      </w:r>
    </w:p>
    <w:p>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公务用车运行维护费支出3.21万元，</w:t>
      </w:r>
      <w:r>
        <w:rPr>
          <w:rFonts w:hint="eastAsia" w:ascii="仿宋_GB2312" w:eastAsia="仿宋_GB2312"/>
          <w:color w:val="auto"/>
          <w:sz w:val="32"/>
          <w:szCs w:val="32"/>
          <w:highlight w:val="none"/>
          <w:lang w:val="zh-CN" w:eastAsia="zh-CN"/>
        </w:rPr>
        <w:t>决算数</w:t>
      </w:r>
      <w:r>
        <w:rPr>
          <w:rFonts w:hint="eastAsia" w:ascii="仿宋_GB2312" w:eastAsia="仿宋_GB2312"/>
          <w:color w:val="auto"/>
          <w:sz w:val="32"/>
          <w:szCs w:val="32"/>
          <w:highlight w:val="none"/>
          <w:lang w:val="en-US" w:eastAsia="zh-CN"/>
        </w:rPr>
        <w:t>3.21</w:t>
      </w:r>
      <w:r>
        <w:rPr>
          <w:rFonts w:hint="eastAsia" w:ascii="仿宋_GB2312" w:eastAsia="仿宋_GB2312"/>
          <w:color w:val="auto"/>
          <w:sz w:val="32"/>
          <w:szCs w:val="32"/>
          <w:highlight w:val="none"/>
          <w:lang w:val="zh-CN" w:eastAsia="zh-CN"/>
        </w:rPr>
        <w:t>万预决算差异率0.00%，</w:t>
      </w:r>
      <w:r>
        <w:rPr>
          <w:rFonts w:hint="eastAsia" w:ascii="仿宋_GB2312" w:eastAsia="仿宋_GB2312"/>
          <w:color w:val="auto"/>
          <w:sz w:val="32"/>
          <w:szCs w:val="32"/>
          <w:lang w:val="zh-CN"/>
        </w:rPr>
        <w:t>主要原因是：</w:t>
      </w:r>
      <w:r>
        <w:rPr>
          <w:rFonts w:hint="eastAsia" w:ascii="仿宋_GB2312" w:eastAsia="仿宋_GB2312"/>
          <w:color w:val="auto"/>
          <w:sz w:val="32"/>
          <w:szCs w:val="32"/>
          <w:highlight w:val="none"/>
          <w:lang w:val="en-US" w:eastAsia="zh-CN"/>
        </w:rPr>
        <w:t>严格控制预算支出，预决算无差异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ascii="仿宋_GB2312" w:eastAsia="仿宋_GB2312"/>
          <w:color w:val="auto"/>
          <w:sz w:val="32"/>
          <w:szCs w:val="32"/>
          <w:lang w:val="zh-CN"/>
        </w:rPr>
        <w:t>。</w:t>
      </w:r>
    </w:p>
    <w:p>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公务接待费支出0.00万元，占0.00%，比上年增加0.00万元，增长0.00%，主要原因是：</w:t>
      </w:r>
      <w:bookmarkStart w:id="20" w:name="_Hlk174748432"/>
      <w:r>
        <w:rPr>
          <w:rFonts w:hint="eastAsia" w:ascii="仿宋_GB2312" w:eastAsia="仿宋_GB2312"/>
          <w:color w:val="auto"/>
          <w:sz w:val="32"/>
          <w:szCs w:val="32"/>
        </w:rPr>
        <w:t>开支内容包括我单位本年无公务接待费支出，无开支内容。</w:t>
      </w:r>
      <w:r>
        <w:rPr>
          <w:rFonts w:ascii="仿宋_GB2312" w:eastAsia="仿宋_GB2312"/>
          <w:color w:val="auto"/>
          <w:sz w:val="32"/>
          <w:szCs w:val="32"/>
        </w:rPr>
        <w:t>单位全年安排的国内公务接待0批次，0人次</w:t>
      </w:r>
      <w:r>
        <w:rPr>
          <w:rFonts w:hint="eastAsia" w:ascii="仿宋_GB2312" w:eastAsia="仿宋_GB2312"/>
          <w:color w:val="auto"/>
          <w:sz w:val="32"/>
          <w:szCs w:val="32"/>
          <w:lang w:val="zh-CN"/>
        </w:rPr>
        <w:t>。</w:t>
      </w:r>
      <w:bookmarkEnd w:id="20"/>
    </w:p>
    <w:p>
      <w:pPr>
        <w:ind w:firstLine="640" w:firstLineChars="200"/>
        <w:jc w:val="left"/>
        <w:rPr>
          <w:rFonts w:ascii="仿宋_GB2312" w:eastAsia="仿宋_GB2312"/>
          <w:color w:val="auto"/>
          <w:sz w:val="32"/>
          <w:szCs w:val="32"/>
        </w:rPr>
      </w:pPr>
      <w:r>
        <w:rPr>
          <w:rFonts w:ascii="仿宋_GB2312" w:eastAsia="仿宋_GB2312"/>
          <w:color w:val="auto"/>
          <w:sz w:val="32"/>
          <w:szCs w:val="32"/>
        </w:rPr>
        <w:t>具体情况如下：</w:t>
      </w:r>
    </w:p>
    <w:p>
      <w:pPr>
        <w:ind w:firstLine="640" w:firstLineChars="200"/>
        <w:jc w:val="left"/>
        <w:rPr>
          <w:rFonts w:hint="eastAsia" w:ascii="仿宋_GB2312" w:hAnsi="Times New Roman" w:eastAsia="仿宋_GB2312" w:cs="Times New Roman"/>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因公出国（境）费支出0.00万元，开支内容包括本年未安排因公出国（境）费支出，无开支内容。单位全年安排</w:t>
      </w:r>
      <w:r>
        <w:rPr>
          <w:rFonts w:hint="eastAsia" w:ascii="仿宋_GB2312" w:hAnsi="Times New Roman" w:eastAsia="仿宋_GB2312" w:cs="Times New Roman"/>
          <w:color w:val="auto"/>
          <w:sz w:val="32"/>
          <w:szCs w:val="32"/>
          <w:highlight w:val="none"/>
          <w:lang w:val="zh-CN" w:eastAsia="zh-CN"/>
        </w:rPr>
        <w:t>的因公出国（境）团组0个，因公出国（境）0人次。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zh-CN" w:eastAsia="zh-CN"/>
        </w:rPr>
        <w:t>公务用车购置及运行维护费</w:t>
      </w:r>
      <w:r>
        <w:rPr>
          <w:rFonts w:hint="eastAsia" w:ascii="仿宋_GB2312" w:hAnsi="Times New Roman" w:eastAsia="仿宋_GB2312" w:cs="Times New Roman"/>
          <w:color w:val="auto"/>
          <w:sz w:val="32"/>
          <w:szCs w:val="32"/>
          <w:highlight w:val="none"/>
          <w:lang w:val="en-US" w:eastAsia="zh-CN"/>
        </w:rPr>
        <w:t>3.21</w:t>
      </w:r>
      <w:r>
        <w:rPr>
          <w:rFonts w:hint="eastAsia" w:ascii="仿宋_GB2312" w:hAnsi="Times New Roman" w:eastAsia="仿宋_GB2312" w:cs="Times New Roman"/>
          <w:color w:val="auto"/>
          <w:sz w:val="32"/>
          <w:szCs w:val="32"/>
          <w:highlight w:val="none"/>
          <w:lang w:val="zh-CN" w:eastAsia="zh-CN"/>
        </w:rPr>
        <w:t>万元，其中：公务用车购置费0.00万元，公务用车运行维护费</w:t>
      </w:r>
      <w:r>
        <w:rPr>
          <w:rFonts w:hint="eastAsia" w:ascii="仿宋_GB2312" w:hAnsi="Times New Roman" w:eastAsia="仿宋_GB2312" w:cs="Times New Roman"/>
          <w:color w:val="auto"/>
          <w:sz w:val="32"/>
          <w:szCs w:val="32"/>
          <w:highlight w:val="none"/>
          <w:lang w:val="en-US" w:eastAsia="zh-CN"/>
        </w:rPr>
        <w:t>3.21</w:t>
      </w:r>
      <w:r>
        <w:rPr>
          <w:rFonts w:hint="eastAsia" w:ascii="仿宋_GB2312" w:hAnsi="Times New Roman" w:eastAsia="仿宋_GB2312" w:cs="Times New Roman"/>
          <w:color w:val="auto"/>
          <w:sz w:val="32"/>
          <w:szCs w:val="32"/>
          <w:highlight w:val="none"/>
          <w:lang w:val="zh-CN" w:eastAsia="zh-CN"/>
        </w:rPr>
        <w:t>万元。公务用车运行维护费开支内容包括辆燃油费、维修费、保险费等。公务用车购置数0辆，公务用车保有量</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val="zh-CN" w:eastAsia="zh-CN"/>
        </w:rPr>
        <w:t>辆。国有资产占用情况</w:t>
      </w:r>
      <w:r>
        <w:rPr>
          <w:rFonts w:hint="eastAsia" w:ascii="仿宋_GB2312" w:hAnsi="Times New Roman" w:eastAsia="仿宋_GB2312" w:cs="Times New Roman"/>
          <w:color w:val="auto"/>
          <w:sz w:val="32"/>
          <w:szCs w:val="32"/>
          <w:highlight w:val="none"/>
          <w:lang w:val="en-US" w:eastAsia="zh-CN"/>
        </w:rPr>
        <w:t>中固定资产车辆2</w:t>
      </w:r>
      <w:r>
        <w:rPr>
          <w:rFonts w:hint="eastAsia" w:ascii="仿宋_GB2312" w:hAnsi="Times New Roman" w:eastAsia="仿宋_GB2312" w:cs="Times New Roman"/>
          <w:color w:val="auto"/>
          <w:sz w:val="32"/>
          <w:szCs w:val="32"/>
          <w:highlight w:val="none"/>
          <w:lang w:val="zh-CN" w:eastAsia="zh-CN"/>
        </w:rPr>
        <w:t>辆，</w:t>
      </w:r>
      <w:r>
        <w:rPr>
          <w:rFonts w:hint="eastAsia" w:ascii="仿宋_GB2312" w:hAnsi="Times New Roman" w:eastAsia="仿宋_GB2312" w:cs="Times New Roman"/>
          <w:color w:val="auto"/>
          <w:sz w:val="32"/>
          <w:szCs w:val="32"/>
          <w:highlight w:val="none"/>
          <w:lang w:val="en-US" w:eastAsia="zh-CN"/>
        </w:rPr>
        <w:t>与</w:t>
      </w:r>
      <w:r>
        <w:rPr>
          <w:rFonts w:hint="eastAsia" w:ascii="仿宋_GB2312" w:hAnsi="Times New Roman" w:eastAsia="仿宋_GB2312" w:cs="Times New Roman"/>
          <w:color w:val="auto"/>
          <w:sz w:val="32"/>
          <w:szCs w:val="32"/>
          <w:highlight w:val="none"/>
          <w:lang w:val="zh-CN" w:eastAsia="zh-CN"/>
        </w:rPr>
        <w:t>公务用车</w:t>
      </w:r>
      <w:r>
        <w:rPr>
          <w:rFonts w:hint="eastAsia" w:ascii="仿宋_GB2312" w:hAnsi="Times New Roman" w:eastAsia="仿宋_GB2312" w:cs="Times New Roman"/>
          <w:color w:val="auto"/>
          <w:sz w:val="32"/>
          <w:szCs w:val="32"/>
          <w:highlight w:val="none"/>
          <w:lang w:val="en-US" w:eastAsia="zh-CN"/>
        </w:rPr>
        <w:t>保有量差异</w:t>
      </w:r>
      <w:r>
        <w:rPr>
          <w:rFonts w:hint="eastAsia" w:ascii="仿宋_GB2312" w:hAnsi="Times New Roman" w:eastAsia="仿宋_GB2312" w:cs="Times New Roman"/>
          <w:color w:val="auto"/>
          <w:sz w:val="32"/>
          <w:szCs w:val="32"/>
          <w:highlight w:val="none"/>
          <w:lang w:val="zh-CN" w:eastAsia="zh-CN"/>
        </w:rPr>
        <w:t>原因是：无差异。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z w:val="32"/>
          <w:szCs w:val="32"/>
          <w:highlight w:val="none"/>
          <w:lang w:val="zh-CN" w:eastAsia="zh-CN"/>
        </w:rPr>
      </w:pPr>
      <w:r>
        <w:rPr>
          <w:rFonts w:hint="eastAsia" w:ascii="仿宋_GB2312" w:hAnsi="Times New Roman" w:eastAsia="仿宋_GB2312" w:cs="Times New Roman"/>
          <w:color w:val="auto"/>
          <w:sz w:val="32"/>
          <w:szCs w:val="32"/>
          <w:highlight w:val="none"/>
          <w:lang w:val="zh-CN" w:eastAsia="zh-CN"/>
        </w:rPr>
        <w:t>公务接待费0.00万元，</w:t>
      </w:r>
      <w:bookmarkStart w:id="21" w:name="OLE_LINK2"/>
      <w:r>
        <w:rPr>
          <w:rFonts w:hint="eastAsia" w:ascii="仿宋_GB2312" w:hAnsi="Times New Roman" w:eastAsia="仿宋_GB2312" w:cs="Times New Roman"/>
          <w:color w:val="auto"/>
          <w:sz w:val="32"/>
          <w:szCs w:val="32"/>
          <w:highlight w:val="none"/>
          <w:lang w:val="zh-CN" w:eastAsia="zh-CN"/>
        </w:rPr>
        <w:t>本年未安排公务接待费支出，无开支内容。</w:t>
      </w:r>
      <w:bookmarkEnd w:id="21"/>
      <w:r>
        <w:rPr>
          <w:rFonts w:hint="eastAsia" w:ascii="仿宋_GB2312" w:hAnsi="Times New Roman" w:eastAsia="仿宋_GB2312" w:cs="Times New Roman"/>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z w:val="32"/>
          <w:szCs w:val="32"/>
          <w:highlight w:val="none"/>
          <w:lang w:val="zh-CN" w:eastAsia="zh-CN"/>
        </w:rPr>
      </w:pPr>
      <w:r>
        <w:rPr>
          <w:rFonts w:hint="eastAsia" w:ascii="仿宋_GB2312" w:eastAsia="仿宋_GB2312"/>
          <w:color w:val="auto"/>
          <w:sz w:val="32"/>
          <w:szCs w:val="32"/>
          <w:lang w:val="zh-CN"/>
        </w:rPr>
        <w:t>与</w:t>
      </w:r>
      <w:r>
        <w:rPr>
          <w:rFonts w:hint="eastAsia" w:ascii="仿宋_GB2312" w:eastAsia="仿宋_GB2312"/>
          <w:color w:val="auto"/>
          <w:sz w:val="32"/>
          <w:szCs w:val="32"/>
        </w:rPr>
        <w:t>全年</w:t>
      </w:r>
      <w:r>
        <w:rPr>
          <w:rFonts w:hint="eastAsia" w:ascii="仿宋_GB2312" w:eastAsia="仿宋_GB2312"/>
          <w:color w:val="auto"/>
          <w:sz w:val="32"/>
          <w:szCs w:val="32"/>
          <w:lang w:val="zh-CN"/>
        </w:rPr>
        <w:t>预算相比</w:t>
      </w:r>
      <w:r>
        <w:rPr>
          <w:rFonts w:hint="eastAsia" w:ascii="仿宋_GB2312" w:eastAsia="仿宋_GB2312"/>
          <w:color w:val="auto"/>
          <w:sz w:val="32"/>
          <w:szCs w:val="32"/>
        </w:rPr>
        <w:t>,</w:t>
      </w:r>
      <w:r>
        <w:rPr>
          <w:rFonts w:hint="eastAsia" w:ascii="仿宋_GB2312" w:eastAsia="仿宋_GB2312"/>
          <w:color w:val="auto"/>
          <w:sz w:val="32"/>
          <w:szCs w:val="32"/>
          <w:lang w:val="zh-CN"/>
        </w:rPr>
        <w:t>财政拨款“三公”经费支出</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预算数3.21万元，决算数3.21万元，预决算差异率0.00%，主要原因是：</w:t>
      </w:r>
      <w:bookmarkStart w:id="22" w:name="OLE_LINK3"/>
      <w:r>
        <w:rPr>
          <w:rFonts w:hint="eastAsia" w:ascii="仿宋_GB2312" w:hAnsi="Times New Roman" w:eastAsia="仿宋_GB2312" w:cs="Times New Roman"/>
          <w:color w:val="auto"/>
          <w:sz w:val="32"/>
          <w:szCs w:val="32"/>
          <w:highlight w:val="none"/>
          <w:lang w:val="zh-CN" w:eastAsia="zh-CN"/>
        </w:rPr>
        <w:t>认真贯彻落实中央八项规定</w:t>
      </w:r>
      <w:bookmarkStart w:id="54" w:name="_GoBack"/>
      <w:bookmarkEnd w:id="54"/>
      <w:r>
        <w:rPr>
          <w:rFonts w:hint="eastAsia" w:ascii="仿宋_GB2312" w:hAnsi="Times New Roman" w:eastAsia="仿宋_GB2312" w:cs="Times New Roman"/>
          <w:color w:val="auto"/>
          <w:sz w:val="32"/>
          <w:szCs w:val="32"/>
          <w:highlight w:val="none"/>
          <w:lang w:val="zh-CN" w:eastAsia="zh-CN"/>
        </w:rPr>
        <w:t>精神和厉行节约要求，从严控制“三公”经费开支，预决算无差异</w:t>
      </w:r>
      <w:bookmarkEnd w:id="22"/>
      <w:r>
        <w:rPr>
          <w:rFonts w:hint="eastAsia" w:ascii="仿宋_GB2312" w:hAnsi="Times New Roman" w:eastAsia="仿宋_GB2312" w:cs="Times New Roman"/>
          <w:color w:val="auto"/>
          <w:sz w:val="32"/>
          <w:szCs w:val="32"/>
          <w:highlight w:val="none"/>
          <w:lang w:val="zh-CN" w:eastAsia="zh-CN"/>
        </w:rPr>
        <w:t>。其中：因公出国（境）费</w:t>
      </w:r>
      <w:r>
        <w:rPr>
          <w:rFonts w:hint="eastAsia" w:ascii="仿宋_GB2312" w:hAnsi="Times New Roman" w:eastAsia="仿宋_GB2312" w:cs="Times New Roman"/>
          <w:color w:val="auto"/>
          <w:sz w:val="32"/>
          <w:szCs w:val="32"/>
          <w:highlight w:val="none"/>
          <w:lang w:val="en-US" w:eastAsia="zh-CN"/>
        </w:rPr>
        <w:t>全年预算数</w:t>
      </w:r>
      <w:r>
        <w:rPr>
          <w:rFonts w:hint="eastAsia" w:ascii="仿宋_GB2312" w:hAnsi="Times New Roman" w:eastAsia="仿宋_GB2312" w:cs="Times New Roman"/>
          <w:color w:val="auto"/>
          <w:sz w:val="32"/>
          <w:szCs w:val="32"/>
          <w:highlight w:val="none"/>
          <w:lang w:val="zh-CN" w:eastAsia="zh-CN"/>
        </w:rPr>
        <w:t>0.00万元，决算数0.00万元，预决算差异率0.00%，主要原因是：本年无因公出国（境）费支出，预决算无差异；公务用车购置费</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预算数0.00万元，决算数0.00万元，预决算差异率0.00%，主要原因是：本年无公务用车购置费支出，无开支内容；公务用车运行费</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预算数1.74万元，决算数1.74万元，预决算差异率0.00%，主要原因是：从严控制“三公”经费开支，预决算无差异；公务接待费</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预算数0.00万元，决算数0.00万元，预决算差异率0.00%，主要原因是：本年无公务接待费支出，无开支内容预决算无差异。</w:t>
      </w:r>
    </w:p>
    <w:p>
      <w:pPr>
        <w:ind w:firstLine="640" w:firstLineChars="200"/>
        <w:jc w:val="left"/>
        <w:rPr>
          <w:rFonts w:ascii="仿宋_GB2312" w:eastAsia="仿宋_GB2312"/>
          <w:color w:val="auto"/>
          <w:sz w:val="32"/>
          <w:szCs w:val="32"/>
          <w:lang w:val="zh-CN"/>
        </w:rPr>
      </w:pPr>
    </w:p>
    <w:p>
      <w:pPr>
        <w:ind w:firstLine="640" w:firstLineChars="200"/>
        <w:jc w:val="left"/>
        <w:outlineLvl w:val="1"/>
        <w:rPr>
          <w:rFonts w:hint="eastAsia" w:ascii="黑体" w:hAnsi="黑体" w:eastAsia="黑体" w:cs="宋体"/>
          <w:bCs/>
          <w:color w:val="auto"/>
          <w:kern w:val="0"/>
          <w:sz w:val="32"/>
          <w:szCs w:val="32"/>
        </w:rPr>
      </w:pPr>
      <w:bookmarkStart w:id="23" w:name="_Toc7927"/>
      <w:bookmarkStart w:id="24" w:name="_Toc5810"/>
      <w:r>
        <w:rPr>
          <w:rFonts w:hint="eastAsia" w:ascii="黑体" w:hAnsi="黑体" w:eastAsia="黑体" w:cs="宋体"/>
          <w:bCs/>
          <w:color w:val="auto"/>
          <w:kern w:val="0"/>
          <w:sz w:val="32"/>
          <w:szCs w:val="32"/>
        </w:rPr>
        <w:t>八、政府性基金预算财政拨款收入支出决算情况说明</w:t>
      </w:r>
      <w:bookmarkEnd w:id="23"/>
      <w:bookmarkEnd w:id="24"/>
    </w:p>
    <w:p>
      <w:pPr>
        <w:ind w:firstLine="640" w:firstLineChars="200"/>
        <w:jc w:val="left"/>
        <w:rPr>
          <w:rFonts w:hint="eastAsia" w:ascii="Times New Roman" w:hAnsi="Times New Roman" w:eastAsia="仿宋_GB2312" w:cs="Times New Roman"/>
          <w:color w:val="auto"/>
          <w:sz w:val="32"/>
          <w:szCs w:val="32"/>
          <w:lang w:val="zh-CN"/>
        </w:rPr>
      </w:pPr>
      <w:r>
        <w:rPr>
          <w:rFonts w:hint="eastAsia" w:eastAsia="仿宋_GB2312"/>
          <w:color w:val="auto"/>
          <w:sz w:val="32"/>
          <w:szCs w:val="32"/>
          <w:lang w:val="zh-CN"/>
        </w:rPr>
        <w:t>2023年度政府性基金预算财政拨款收入总计</w:t>
      </w:r>
      <w:r>
        <w:rPr>
          <w:rFonts w:hint="eastAsia" w:eastAsia="仿宋_GB2312"/>
          <w:color w:val="auto"/>
          <w:sz w:val="32"/>
          <w:szCs w:val="32"/>
          <w:lang w:val="en-US" w:eastAsia="zh-CN"/>
        </w:rPr>
        <w:t>0.00</w:t>
      </w:r>
      <w:r>
        <w:rPr>
          <w:rFonts w:hint="eastAsia" w:eastAsia="仿宋_GB2312"/>
          <w:color w:val="auto"/>
          <w:sz w:val="32"/>
          <w:szCs w:val="32"/>
          <w:lang w:val="zh-CN"/>
        </w:rPr>
        <w:t>万元，其中：</w:t>
      </w:r>
      <w:r>
        <w:rPr>
          <w:rFonts w:hint="eastAsia" w:ascii="Times New Roman" w:hAnsi="Times New Roman" w:eastAsia="仿宋_GB2312" w:cs="Times New Roman"/>
          <w:color w:val="auto"/>
          <w:sz w:val="32"/>
          <w:szCs w:val="32"/>
          <w:lang w:val="zh-CN"/>
        </w:rPr>
        <w:t>2023年度政府性基金预算财政拨款收入总计0.00万元，其中：年初结转和结余0.00万元，本年收入0.00万元。政府性基金预算财政拨款支出总计0.00万元，其中：年末结转和结余0.00万元，本年支出0.00万元。</w:t>
      </w:r>
    </w:p>
    <w:p>
      <w:pPr>
        <w:ind w:firstLine="640" w:firstLineChars="200"/>
        <w:jc w:val="left"/>
        <w:rPr>
          <w:rFonts w:hint="eastAsia" w:eastAsia="仿宋_GB2312"/>
          <w:color w:val="auto"/>
          <w:sz w:val="32"/>
          <w:szCs w:val="32"/>
          <w:lang w:val="zh-CN"/>
        </w:rPr>
      </w:pPr>
      <w:r>
        <w:rPr>
          <w:rFonts w:hint="eastAsia" w:eastAsia="仿宋_GB2312"/>
          <w:color w:val="auto"/>
          <w:sz w:val="32"/>
          <w:szCs w:val="32"/>
          <w:lang w:val="zh-CN"/>
        </w:rPr>
        <w:t>政府性基金预算财政拨款收入支出与上年相比，减少30.00万元,下降100.00%,主要原因是：加强对资金绩效管理的</w:t>
      </w:r>
      <w:r>
        <w:rPr>
          <w:rFonts w:hint="eastAsia" w:eastAsia="仿宋_GB2312"/>
          <w:color w:val="auto"/>
          <w:sz w:val="32"/>
          <w:szCs w:val="32"/>
          <w:lang w:val="zh-CN" w:eastAsia="zh-CN"/>
        </w:rPr>
        <w:t>，</w:t>
      </w:r>
      <w:r>
        <w:rPr>
          <w:rFonts w:hint="eastAsia" w:eastAsia="仿宋_GB2312"/>
          <w:color w:val="auto"/>
          <w:sz w:val="32"/>
          <w:szCs w:val="32"/>
          <w:lang w:val="en-US" w:eastAsia="zh-CN"/>
        </w:rPr>
        <w:t>严格控制费用支出，厉行节约</w:t>
      </w:r>
      <w:r>
        <w:rPr>
          <w:rFonts w:hint="eastAsia" w:eastAsia="仿宋_GB2312"/>
          <w:color w:val="auto"/>
          <w:sz w:val="32"/>
          <w:szCs w:val="32"/>
          <w:lang w:val="zh-CN"/>
        </w:rPr>
        <w:t>。与年初预算相比,年初预算数0.00万元，决算数0.00万元，预决算差异率0.00%，主要原因是：加强对资金绩效管理</w:t>
      </w:r>
      <w:r>
        <w:rPr>
          <w:rFonts w:hint="eastAsia" w:eastAsia="仿宋_GB2312"/>
          <w:color w:val="auto"/>
          <w:sz w:val="32"/>
          <w:szCs w:val="32"/>
          <w:lang w:val="zh-CN" w:eastAsia="zh-CN"/>
        </w:rPr>
        <w:t>，</w:t>
      </w:r>
      <w:r>
        <w:rPr>
          <w:rFonts w:hint="eastAsia" w:eastAsia="仿宋_GB2312"/>
          <w:color w:val="auto"/>
          <w:sz w:val="32"/>
          <w:szCs w:val="32"/>
          <w:lang w:val="en-US" w:eastAsia="zh-CN"/>
        </w:rPr>
        <w:t>严格控制费用支出，厉行节约</w:t>
      </w:r>
      <w:r>
        <w:rPr>
          <w:rFonts w:hint="eastAsia" w:eastAsia="仿宋_GB2312"/>
          <w:color w:val="auto"/>
          <w:sz w:val="32"/>
          <w:szCs w:val="32"/>
          <w:lang w:val="zh-CN"/>
        </w:rPr>
        <w:t>。</w:t>
      </w:r>
    </w:p>
    <w:p>
      <w:pPr>
        <w:ind w:firstLine="640" w:firstLineChars="200"/>
        <w:jc w:val="left"/>
        <w:rPr>
          <w:rFonts w:hint="eastAsia" w:eastAsia="仿宋_GB2312"/>
          <w:color w:val="auto"/>
          <w:sz w:val="32"/>
          <w:szCs w:val="32"/>
          <w:lang w:val="zh-CN"/>
        </w:rPr>
      </w:pPr>
      <w:r>
        <w:rPr>
          <w:rFonts w:hint="eastAsia" w:eastAsia="仿宋_GB2312"/>
          <w:color w:val="auto"/>
          <w:sz w:val="32"/>
          <w:szCs w:val="32"/>
          <w:lang w:val="zh-CN"/>
        </w:rPr>
        <w:t>政府性基金预算财政拨款支出0.00万元。.其他支出（类）彩票公益金安排的支出（款）用于社会福利的彩票公益金支出（项）:支出决算数为0.00万元，比上年决算减少30.00万元，下降100%，主要原因是：加强对资金绩效管理</w:t>
      </w:r>
      <w:r>
        <w:rPr>
          <w:rFonts w:hint="eastAsia" w:eastAsia="仿宋_GB2312"/>
          <w:color w:val="auto"/>
          <w:sz w:val="32"/>
          <w:szCs w:val="32"/>
          <w:lang w:val="zh-CN" w:eastAsia="zh-CN"/>
        </w:rPr>
        <w:t>，</w:t>
      </w:r>
      <w:r>
        <w:rPr>
          <w:rFonts w:hint="eastAsia" w:eastAsia="仿宋_GB2312"/>
          <w:color w:val="auto"/>
          <w:sz w:val="32"/>
          <w:szCs w:val="32"/>
          <w:lang w:val="en-US" w:eastAsia="zh-CN"/>
        </w:rPr>
        <w:t>严格控制费用支出，厉行节约</w:t>
      </w:r>
      <w:r>
        <w:rPr>
          <w:rFonts w:hint="eastAsia" w:eastAsia="仿宋_GB2312"/>
          <w:color w:val="auto"/>
          <w:sz w:val="32"/>
          <w:szCs w:val="32"/>
          <w:lang w:val="zh-CN"/>
        </w:rPr>
        <w:t>”。</w:t>
      </w:r>
    </w:p>
    <w:p>
      <w:pPr>
        <w:ind w:firstLine="640" w:firstLineChars="200"/>
        <w:jc w:val="left"/>
        <w:outlineLvl w:val="1"/>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九、国有资本经营预算财政拨款收入支出决算情况说明</w:t>
      </w:r>
    </w:p>
    <w:p>
      <w:pPr>
        <w:ind w:firstLine="640" w:firstLineChars="200"/>
        <w:jc w:val="left"/>
        <w:rPr>
          <w:rFonts w:eastAsia="仿宋_GB2312"/>
          <w:color w:val="auto"/>
          <w:sz w:val="32"/>
          <w:szCs w:val="32"/>
          <w:lang w:val="zh-CN"/>
        </w:rPr>
      </w:pPr>
      <w:r>
        <w:rPr>
          <w:rFonts w:hint="eastAsia" w:eastAsia="仿宋_GB2312"/>
          <w:color w:val="auto"/>
          <w:sz w:val="32"/>
          <w:szCs w:val="32"/>
          <w:lang w:val="zh-CN"/>
        </w:rPr>
        <w:t>2023年度</w:t>
      </w:r>
      <w:bookmarkStart w:id="25" w:name="_Hlk174751835"/>
      <w:r>
        <w:rPr>
          <w:rFonts w:hint="eastAsia" w:eastAsia="仿宋_GB2312"/>
          <w:color w:val="auto"/>
          <w:sz w:val="32"/>
          <w:szCs w:val="32"/>
          <w:lang w:val="zh-CN"/>
        </w:rPr>
        <w:t>国有资本经营预算</w:t>
      </w:r>
      <w:r>
        <w:rPr>
          <w:rFonts w:hint="eastAsia" w:eastAsia="仿宋_GB2312"/>
          <w:color w:val="auto"/>
          <w:sz w:val="32"/>
          <w:szCs w:val="32"/>
        </w:rPr>
        <w:t>财政拨款</w:t>
      </w:r>
      <w:r>
        <w:rPr>
          <w:rFonts w:hint="eastAsia" w:eastAsia="仿宋_GB2312"/>
          <w:color w:val="auto"/>
          <w:sz w:val="32"/>
          <w:szCs w:val="32"/>
          <w:lang w:val="zh-CN"/>
        </w:rPr>
        <w:t>收入</w:t>
      </w:r>
      <w:bookmarkEnd w:id="25"/>
      <w:r>
        <w:rPr>
          <w:rFonts w:hint="eastAsia" w:eastAsia="仿宋_GB2312"/>
          <w:color w:val="auto"/>
          <w:sz w:val="32"/>
          <w:szCs w:val="32"/>
        </w:rPr>
        <w:t>总计21.63</w:t>
      </w:r>
      <w:r>
        <w:rPr>
          <w:rFonts w:hint="eastAsia" w:eastAsia="仿宋_GB2312"/>
          <w:color w:val="auto"/>
          <w:sz w:val="32"/>
          <w:szCs w:val="32"/>
          <w:lang w:val="zh-CN"/>
        </w:rPr>
        <w:t>万元，</w:t>
      </w:r>
      <w:r>
        <w:rPr>
          <w:rFonts w:hint="eastAsia" w:eastAsia="仿宋_GB2312"/>
          <w:color w:val="auto"/>
          <w:sz w:val="32"/>
          <w:szCs w:val="32"/>
        </w:rPr>
        <w:t>其中：年初结转和结余</w:t>
      </w:r>
      <w:r>
        <w:rPr>
          <w:rFonts w:hint="eastAsia" w:eastAsia="仿宋_GB2312"/>
          <w:color w:val="auto"/>
          <w:sz w:val="32"/>
          <w:szCs w:val="32"/>
          <w:lang w:val="zh-CN"/>
        </w:rPr>
        <w:t>0.00万元，</w:t>
      </w:r>
      <w:r>
        <w:rPr>
          <w:rFonts w:hint="eastAsia" w:eastAsia="仿宋_GB2312"/>
          <w:color w:val="auto"/>
          <w:sz w:val="32"/>
          <w:szCs w:val="32"/>
        </w:rPr>
        <w:t>本年收入</w:t>
      </w:r>
      <w:r>
        <w:rPr>
          <w:rFonts w:hint="eastAsia" w:eastAsia="仿宋_GB2312"/>
          <w:color w:val="auto"/>
          <w:sz w:val="32"/>
          <w:szCs w:val="32"/>
          <w:lang w:val="zh-CN"/>
        </w:rPr>
        <w:t>21.63万元。国有资本经营预算财政拨款支出</w:t>
      </w:r>
      <w:r>
        <w:rPr>
          <w:rFonts w:hint="eastAsia" w:eastAsia="仿宋_GB2312"/>
          <w:color w:val="auto"/>
          <w:sz w:val="32"/>
          <w:szCs w:val="32"/>
        </w:rPr>
        <w:t>总计21.63</w:t>
      </w:r>
      <w:r>
        <w:rPr>
          <w:rFonts w:hint="eastAsia" w:eastAsia="仿宋_GB2312"/>
          <w:color w:val="auto"/>
          <w:sz w:val="32"/>
          <w:szCs w:val="32"/>
          <w:lang w:val="zh-CN"/>
        </w:rPr>
        <w:t>万元，</w:t>
      </w:r>
      <w:r>
        <w:rPr>
          <w:rFonts w:hint="eastAsia" w:eastAsia="仿宋_GB2312"/>
          <w:color w:val="auto"/>
          <w:sz w:val="32"/>
          <w:szCs w:val="32"/>
        </w:rPr>
        <w:t>其中：年末结转和结余</w:t>
      </w:r>
      <w:r>
        <w:rPr>
          <w:rFonts w:hint="eastAsia" w:eastAsia="仿宋_GB2312"/>
          <w:color w:val="auto"/>
          <w:sz w:val="32"/>
          <w:szCs w:val="32"/>
          <w:lang w:val="zh-CN"/>
        </w:rPr>
        <w:t>0.00万元，</w:t>
      </w:r>
      <w:r>
        <w:rPr>
          <w:rFonts w:hint="eastAsia" w:eastAsia="仿宋_GB2312"/>
          <w:color w:val="auto"/>
          <w:sz w:val="32"/>
          <w:szCs w:val="32"/>
        </w:rPr>
        <w:t>本年支出</w:t>
      </w:r>
      <w:r>
        <w:rPr>
          <w:rFonts w:hint="eastAsia" w:eastAsia="仿宋_GB2312"/>
          <w:color w:val="auto"/>
          <w:sz w:val="32"/>
          <w:szCs w:val="32"/>
          <w:lang w:val="zh-CN"/>
        </w:rPr>
        <w:t>21.63万元。</w:t>
      </w:r>
    </w:p>
    <w:p>
      <w:pPr>
        <w:ind w:firstLine="640" w:firstLineChars="200"/>
        <w:rPr>
          <w:rFonts w:eastAsia="仿宋_GB2312"/>
          <w:color w:val="auto"/>
          <w:sz w:val="32"/>
          <w:szCs w:val="32"/>
          <w:lang w:val="zh-CN"/>
        </w:rPr>
      </w:pPr>
      <w:r>
        <w:rPr>
          <w:rFonts w:hint="eastAsia" w:eastAsia="仿宋_GB2312"/>
          <w:color w:val="auto"/>
          <w:sz w:val="32"/>
          <w:szCs w:val="32"/>
          <w:lang w:val="zh-CN"/>
        </w:rPr>
        <w:t>国有资本经营预算财政拨款</w:t>
      </w:r>
      <w:r>
        <w:rPr>
          <w:rFonts w:hint="eastAsia" w:eastAsia="仿宋_GB2312"/>
          <w:color w:val="auto"/>
          <w:sz w:val="32"/>
          <w:szCs w:val="32"/>
        </w:rPr>
        <w:t>收入支出</w:t>
      </w:r>
      <w:r>
        <w:rPr>
          <w:rFonts w:hint="eastAsia" w:eastAsia="仿宋_GB2312"/>
          <w:color w:val="auto"/>
          <w:sz w:val="32"/>
          <w:szCs w:val="32"/>
          <w:lang w:val="zh-CN"/>
        </w:rPr>
        <w:t>与上年相比，增加21.38万元，增长</w:t>
      </w:r>
      <w:r>
        <w:rPr>
          <w:rFonts w:hint="eastAsia" w:ascii="黑体" w:hAnsi="黑体" w:eastAsia="黑体" w:cs="宋体"/>
          <w:bCs/>
          <w:color w:val="auto"/>
          <w:kern w:val="0"/>
          <w:sz w:val="32"/>
          <w:szCs w:val="32"/>
        </w:rPr>
        <w:t>8552.00%</w:t>
      </w:r>
      <w:r>
        <w:rPr>
          <w:rFonts w:hint="eastAsia" w:eastAsia="仿宋_GB2312"/>
          <w:color w:val="auto"/>
          <w:sz w:val="32"/>
          <w:szCs w:val="32"/>
          <w:lang w:val="zh-CN"/>
        </w:rPr>
        <w:t>，主要原因是：国有企业退休人员社会化管理补助支出增加。与年初预算相比，年初预算数</w:t>
      </w:r>
      <w:r>
        <w:rPr>
          <w:rFonts w:hint="eastAsia" w:eastAsia="仿宋_GB2312"/>
          <w:color w:val="auto"/>
          <w:sz w:val="32"/>
          <w:szCs w:val="32"/>
        </w:rPr>
        <w:t>18.54</w:t>
      </w:r>
      <w:r>
        <w:rPr>
          <w:rFonts w:hint="eastAsia" w:eastAsia="仿宋_GB2312"/>
          <w:color w:val="auto"/>
          <w:sz w:val="32"/>
          <w:szCs w:val="32"/>
          <w:lang w:val="zh-CN"/>
        </w:rPr>
        <w:t>万元，决算数</w:t>
      </w:r>
      <w:r>
        <w:rPr>
          <w:rFonts w:hint="eastAsia" w:eastAsia="仿宋_GB2312"/>
          <w:color w:val="auto"/>
          <w:sz w:val="32"/>
          <w:szCs w:val="32"/>
        </w:rPr>
        <w:t>21.63</w:t>
      </w:r>
      <w:r>
        <w:rPr>
          <w:rFonts w:hint="eastAsia" w:eastAsia="仿宋_GB2312"/>
          <w:color w:val="auto"/>
          <w:sz w:val="32"/>
          <w:szCs w:val="32"/>
          <w:lang w:val="zh-CN"/>
        </w:rPr>
        <w:t>万元，预决算差异率16.65%，主要原因是：国有企业退休人员社会化管理补助支出增加。</w:t>
      </w:r>
    </w:p>
    <w:p>
      <w:pPr>
        <w:ind w:firstLine="640" w:firstLineChars="200"/>
        <w:jc w:val="left"/>
        <w:rPr>
          <w:rFonts w:ascii="仿宋_GB2312" w:eastAsia="仿宋_GB2312"/>
          <w:color w:val="auto"/>
          <w:sz w:val="32"/>
          <w:szCs w:val="32"/>
        </w:rPr>
      </w:pPr>
      <w:r>
        <w:rPr>
          <w:rFonts w:hint="eastAsia" w:eastAsia="仿宋_GB2312"/>
          <w:color w:val="auto"/>
          <w:sz w:val="32"/>
          <w:szCs w:val="32"/>
          <w:lang w:val="zh-CN"/>
        </w:rPr>
        <w:t>国有资本经营预算财政拨款支出</w:t>
      </w:r>
      <w:r>
        <w:rPr>
          <w:rFonts w:hint="eastAsia" w:eastAsia="仿宋_GB2312"/>
          <w:color w:val="auto"/>
          <w:sz w:val="32"/>
          <w:szCs w:val="32"/>
        </w:rPr>
        <w:t>21.63</w:t>
      </w:r>
      <w:r>
        <w:rPr>
          <w:rFonts w:hint="eastAsia" w:eastAsia="仿宋_GB2312"/>
          <w:color w:val="auto"/>
          <w:sz w:val="32"/>
          <w:szCs w:val="32"/>
          <w:lang w:val="zh-CN"/>
        </w:rPr>
        <w:t>万元。</w:t>
      </w:r>
    </w:p>
    <w:p>
      <w:pPr>
        <w:ind w:firstLine="640" w:firstLineChars="200"/>
        <w:jc w:val="left"/>
        <w:outlineLvl w:val="1"/>
        <w:rPr>
          <w:rFonts w:hint="eastAsia" w:ascii="黑体" w:hAnsi="黑体" w:eastAsia="黑体" w:cs="宋体"/>
          <w:bCs/>
          <w:color w:val="auto"/>
          <w:kern w:val="0"/>
          <w:sz w:val="32"/>
          <w:szCs w:val="32"/>
        </w:rPr>
      </w:pPr>
      <w:r>
        <w:rPr>
          <w:rFonts w:hint="eastAsia" w:ascii="仿宋_GB2312" w:hAnsi="仿宋_GB2312" w:eastAsia="仿宋_GB2312" w:cs="仿宋_GB2312"/>
          <w:color w:val="auto"/>
          <w:kern w:val="0"/>
          <w:sz w:val="32"/>
          <w:szCs w:val="32"/>
        </w:rPr>
        <w:t>1.国有资本经营预算支出（类）解决历史遗留问题及改革成本支出（款）国有企业退休人员社会化管理补助支出（项）:支出决算数为21.63万元，比上年决算增加21.38万元，增长8552.00%”。</w:t>
      </w:r>
    </w:p>
    <w:p>
      <w:pPr>
        <w:ind w:firstLine="640" w:firstLineChars="200"/>
        <w:jc w:val="left"/>
        <w:outlineLvl w:val="1"/>
        <w:rPr>
          <w:rFonts w:hint="eastAsia" w:ascii="黑体" w:hAnsi="黑体" w:eastAsia="黑体" w:cs="宋体"/>
          <w:bCs/>
          <w:color w:val="auto"/>
          <w:kern w:val="0"/>
          <w:sz w:val="32"/>
          <w:szCs w:val="32"/>
        </w:rPr>
      </w:pPr>
      <w:bookmarkStart w:id="26" w:name="_Toc1235"/>
      <w:bookmarkStart w:id="27" w:name="_Toc7314"/>
      <w:r>
        <w:rPr>
          <w:rFonts w:hint="eastAsia" w:ascii="黑体" w:hAnsi="黑体" w:eastAsia="黑体" w:cs="宋体"/>
          <w:bCs/>
          <w:color w:val="auto"/>
          <w:kern w:val="0"/>
          <w:sz w:val="32"/>
          <w:szCs w:val="32"/>
        </w:rPr>
        <w:t>十、其他重要事项的情况说明</w:t>
      </w:r>
      <w:bookmarkEnd w:id="26"/>
      <w:bookmarkEnd w:id="27"/>
    </w:p>
    <w:p>
      <w:pPr>
        <w:ind w:firstLine="640" w:firstLineChars="200"/>
        <w:jc w:val="left"/>
        <w:outlineLvl w:val="2"/>
        <w:rPr>
          <w:rFonts w:hint="eastAsia" w:ascii="黑体" w:hAnsi="黑体" w:eastAsia="黑体"/>
          <w:color w:val="auto"/>
          <w:sz w:val="32"/>
          <w:szCs w:val="32"/>
        </w:rPr>
      </w:pPr>
      <w:bookmarkStart w:id="28" w:name="_Toc13105"/>
      <w:bookmarkStart w:id="29" w:name="_Toc14519"/>
      <w:r>
        <w:rPr>
          <w:rFonts w:hint="eastAsia" w:ascii="黑体" w:hAnsi="黑体" w:eastAsia="黑体"/>
          <w:color w:val="auto"/>
          <w:sz w:val="32"/>
          <w:szCs w:val="32"/>
        </w:rPr>
        <w:t>（一）机关运行经费支出情况</w:t>
      </w:r>
      <w:bookmarkEnd w:id="28"/>
      <w:bookmarkEnd w:id="29"/>
    </w:p>
    <w:p>
      <w:pPr>
        <w:ind w:firstLine="640" w:firstLineChars="200"/>
        <w:rPr>
          <w:rFonts w:hint="eastAsia" w:eastAsia="仿宋_GB2312"/>
          <w:color w:val="auto"/>
          <w:sz w:val="32"/>
          <w:szCs w:val="32"/>
          <w:lang w:val="en-US" w:eastAsia="zh-CN"/>
        </w:rPr>
      </w:pPr>
      <w:bookmarkStart w:id="30" w:name="_Toc26704"/>
      <w:bookmarkStart w:id="31" w:name="_Toc227"/>
      <w:r>
        <w:rPr>
          <w:rFonts w:hint="eastAsia" w:eastAsia="仿宋_GB2312"/>
          <w:color w:val="auto"/>
          <w:sz w:val="32"/>
          <w:szCs w:val="32"/>
          <w:lang w:val="zh-CN"/>
        </w:rPr>
        <w:t>2023年度</w:t>
      </w:r>
      <w:r>
        <w:rPr>
          <w:rFonts w:hint="eastAsia" w:eastAsia="仿宋_GB2312"/>
          <w:color w:val="auto"/>
          <w:sz w:val="32"/>
          <w:szCs w:val="32"/>
        </w:rPr>
        <w:t>库尔勒市友好街道办事处（行政单位和参照公务员法管理事业单位）机关运行经费支出15.76万元，比上年减少</w:t>
      </w:r>
      <w:r>
        <w:rPr>
          <w:rFonts w:hint="eastAsia" w:eastAsia="仿宋_GB2312"/>
          <w:color w:val="auto"/>
          <w:sz w:val="32"/>
          <w:szCs w:val="32"/>
          <w:lang w:val="en-US" w:eastAsia="zh-CN"/>
        </w:rPr>
        <w:t>79.58</w:t>
      </w:r>
      <w:r>
        <w:rPr>
          <w:rFonts w:hint="eastAsia" w:eastAsia="仿宋_GB2312"/>
          <w:color w:val="auto"/>
          <w:sz w:val="32"/>
          <w:szCs w:val="32"/>
        </w:rPr>
        <w:t>万元，</w:t>
      </w:r>
      <w:r>
        <w:rPr>
          <w:rFonts w:hint="eastAsia" w:eastAsia="仿宋_GB2312"/>
          <w:color w:val="auto"/>
          <w:sz w:val="32"/>
          <w:szCs w:val="32"/>
          <w:lang w:eastAsia="zh-CN"/>
        </w:rPr>
        <w:t>下降</w:t>
      </w:r>
      <w:r>
        <w:rPr>
          <w:rFonts w:hint="eastAsia" w:eastAsia="仿宋_GB2312"/>
          <w:color w:val="auto"/>
          <w:sz w:val="32"/>
          <w:szCs w:val="32"/>
          <w:lang w:val="en-US" w:eastAsia="zh-CN"/>
        </w:rPr>
        <w:t>83.47</w:t>
      </w:r>
      <w:r>
        <w:rPr>
          <w:rFonts w:hint="eastAsia" w:eastAsia="仿宋_GB2312"/>
          <w:color w:val="auto"/>
          <w:sz w:val="32"/>
          <w:szCs w:val="32"/>
        </w:rPr>
        <w:t>%,主要原因是：</w:t>
      </w:r>
      <w:r>
        <w:rPr>
          <w:rFonts w:hint="eastAsia" w:eastAsia="仿宋_GB2312"/>
          <w:color w:val="auto"/>
          <w:sz w:val="32"/>
          <w:szCs w:val="32"/>
          <w:lang w:val="en-US" w:eastAsia="zh-CN"/>
        </w:rPr>
        <w:t>因2022年下半年疫情原因，支付疫情物资费用及疫情期间食堂经费，保障运转支出增加，本年度机关运行经费支出比上年下降。</w:t>
      </w:r>
    </w:p>
    <w:p>
      <w:pPr>
        <w:ind w:firstLine="640" w:firstLineChars="200"/>
        <w:jc w:val="left"/>
        <w:rPr>
          <w:rFonts w:eastAsia="黑体"/>
          <w:color w:val="auto"/>
          <w:sz w:val="32"/>
          <w:szCs w:val="30"/>
          <w:lang w:val="zh-CN"/>
        </w:rPr>
      </w:pPr>
      <w:r>
        <w:rPr>
          <w:rFonts w:hint="eastAsia" w:eastAsia="黑体"/>
          <w:color w:val="auto"/>
          <w:sz w:val="32"/>
          <w:szCs w:val="30"/>
          <w:lang w:val="zh-CN"/>
        </w:rPr>
        <w:t>（二）政府采购情况</w:t>
      </w:r>
      <w:bookmarkEnd w:id="30"/>
      <w:bookmarkEnd w:id="31"/>
    </w:p>
    <w:p>
      <w:pPr>
        <w:ind w:firstLine="640" w:firstLineChars="200"/>
        <w:jc w:val="left"/>
        <w:rPr>
          <w:rFonts w:eastAsia="仿宋_GB2312"/>
          <w:color w:val="auto"/>
          <w:sz w:val="32"/>
          <w:szCs w:val="32"/>
          <w:lang w:val="zh-CN"/>
        </w:rPr>
      </w:pPr>
      <w:r>
        <w:rPr>
          <w:rFonts w:hint="eastAsia" w:eastAsia="仿宋_GB2312"/>
          <w:color w:val="auto"/>
          <w:sz w:val="32"/>
          <w:szCs w:val="32"/>
          <w:lang w:val="zh-CN"/>
        </w:rPr>
        <w:t>2023年度政府采购支出总额5.87万元，其中：政府采购货物支出0.51万元、政府采购工程支出2.79万元、政府采购服务支出2.57万元。</w:t>
      </w:r>
    </w:p>
    <w:p>
      <w:pPr>
        <w:ind w:firstLine="640" w:firstLineChars="200"/>
        <w:jc w:val="left"/>
        <w:rPr>
          <w:rFonts w:eastAsia="仿宋_GB2312"/>
          <w:color w:val="auto"/>
          <w:sz w:val="32"/>
          <w:szCs w:val="32"/>
        </w:rPr>
      </w:pPr>
      <w:r>
        <w:rPr>
          <w:rFonts w:hint="eastAsia" w:eastAsia="仿宋_GB2312"/>
          <w:color w:val="auto"/>
          <w:sz w:val="32"/>
          <w:szCs w:val="32"/>
          <w:lang w:val="zh-CN"/>
        </w:rPr>
        <w:t>授予中小企业合同金额5.20万元，占政府采购支出总额的88.59</w:t>
      </w:r>
      <w:r>
        <w:rPr>
          <w:rFonts w:eastAsia="仿宋_GB2312"/>
          <w:color w:val="auto"/>
          <w:sz w:val="32"/>
          <w:szCs w:val="32"/>
          <w:lang w:val="zh-CN"/>
        </w:rPr>
        <w:t>%</w:t>
      </w:r>
      <w:r>
        <w:rPr>
          <w:rFonts w:hint="eastAsia" w:eastAsia="仿宋_GB2312"/>
          <w:color w:val="auto"/>
          <w:sz w:val="32"/>
          <w:szCs w:val="32"/>
          <w:lang w:val="zh-CN"/>
        </w:rPr>
        <w:t>，其中：授予小微企业合同金额1.67万元，占政府采购支出总额的28.45</w:t>
      </w:r>
      <w:r>
        <w:rPr>
          <w:rFonts w:eastAsia="仿宋_GB2312"/>
          <w:color w:val="auto"/>
          <w:sz w:val="32"/>
          <w:szCs w:val="32"/>
          <w:lang w:val="zh-CN"/>
        </w:rPr>
        <w:t>%</w:t>
      </w:r>
      <w:r>
        <w:rPr>
          <w:rFonts w:hint="eastAsia" w:eastAsia="仿宋_GB2312"/>
          <w:color w:val="auto"/>
          <w:sz w:val="32"/>
          <w:szCs w:val="32"/>
        </w:rPr>
        <w:t>。</w:t>
      </w:r>
    </w:p>
    <w:p>
      <w:pPr>
        <w:ind w:firstLine="640" w:firstLineChars="200"/>
        <w:jc w:val="left"/>
        <w:rPr>
          <w:rFonts w:eastAsia="黑体"/>
          <w:color w:val="auto"/>
          <w:sz w:val="32"/>
          <w:szCs w:val="30"/>
          <w:lang w:val="zh-CN"/>
        </w:rPr>
      </w:pPr>
      <w:bookmarkStart w:id="32" w:name="_Toc8391"/>
      <w:bookmarkStart w:id="33" w:name="_Toc4591"/>
      <w:r>
        <w:rPr>
          <w:rFonts w:hint="eastAsia" w:eastAsia="黑体"/>
          <w:color w:val="auto"/>
          <w:sz w:val="32"/>
          <w:szCs w:val="30"/>
          <w:lang w:val="zh-CN"/>
        </w:rPr>
        <w:t>（三）国有资产占用情况说明</w:t>
      </w:r>
      <w:bookmarkEnd w:id="32"/>
      <w:bookmarkEnd w:id="33"/>
    </w:p>
    <w:p>
      <w:pPr>
        <w:ind w:firstLine="640" w:firstLineChars="200"/>
        <w:jc w:val="left"/>
        <w:rPr>
          <w:rFonts w:eastAsia="仿宋_GB2312"/>
          <w:color w:val="auto"/>
          <w:sz w:val="32"/>
          <w:szCs w:val="32"/>
          <w:lang w:val="zh-CN"/>
        </w:rPr>
      </w:pPr>
      <w:r>
        <w:rPr>
          <w:rFonts w:hint="eastAsia" w:eastAsia="仿宋_GB2312"/>
          <w:color w:val="auto"/>
          <w:sz w:val="32"/>
          <w:szCs w:val="32"/>
        </w:rPr>
        <w:t>截至2023</w:t>
      </w:r>
      <w:r>
        <w:rPr>
          <w:rFonts w:hint="eastAsia" w:eastAsia="仿宋_GB2312"/>
          <w:color w:val="auto"/>
          <w:sz w:val="32"/>
          <w:szCs w:val="32"/>
          <w:lang w:val="zh-CN"/>
        </w:rPr>
        <w:t>年</w:t>
      </w:r>
      <w:r>
        <w:rPr>
          <w:rFonts w:hint="eastAsia" w:eastAsia="仿宋_GB2312"/>
          <w:color w:val="auto"/>
          <w:sz w:val="32"/>
          <w:szCs w:val="32"/>
        </w:rPr>
        <w:t>12月31日</w:t>
      </w:r>
      <w:r>
        <w:rPr>
          <w:rFonts w:hint="eastAsia" w:eastAsia="仿宋_GB2312"/>
          <w:color w:val="auto"/>
          <w:sz w:val="32"/>
          <w:szCs w:val="32"/>
          <w:lang w:val="zh-CN"/>
        </w:rPr>
        <w:t>，</w:t>
      </w:r>
      <w:r>
        <w:rPr>
          <w:rFonts w:hint="eastAsia" w:eastAsia="仿宋_GB2312"/>
          <w:color w:val="auto"/>
          <w:sz w:val="32"/>
          <w:szCs w:val="32"/>
        </w:rPr>
        <w:t>固定资产原值</w:t>
      </w:r>
      <w:r>
        <w:rPr>
          <w:rFonts w:hint="eastAsia" w:eastAsia="仿宋_GB2312"/>
          <w:color w:val="auto"/>
          <w:sz w:val="32"/>
          <w:szCs w:val="32"/>
          <w:lang w:val="zh-CN"/>
        </w:rPr>
        <w:t>17.47</w:t>
      </w:r>
      <w:r>
        <w:rPr>
          <w:rFonts w:hint="eastAsia" w:eastAsia="仿宋_GB2312"/>
          <w:color w:val="auto"/>
          <w:sz w:val="32"/>
          <w:szCs w:val="32"/>
        </w:rPr>
        <w:t>万元，房</w:t>
      </w:r>
      <w:r>
        <w:rPr>
          <w:rFonts w:hint="eastAsia" w:eastAsia="仿宋_GB2312"/>
          <w:color w:val="auto"/>
          <w:sz w:val="32"/>
          <w:szCs w:val="32"/>
          <w:lang w:val="zh-CN"/>
        </w:rPr>
        <w:t>屋0.0平方米，价值0.00万元。车辆0辆，价值0.00万元，其中：副部（省）级及以上领导用车0辆、主要</w:t>
      </w:r>
      <w:r>
        <w:rPr>
          <w:rFonts w:hint="eastAsia" w:eastAsia="仿宋_GB2312"/>
          <w:color w:val="auto"/>
          <w:sz w:val="32"/>
          <w:szCs w:val="32"/>
        </w:rPr>
        <w:t>负责人</w:t>
      </w:r>
      <w:r>
        <w:rPr>
          <w:rFonts w:hint="eastAsia" w:eastAsia="仿宋_GB2312"/>
          <w:color w:val="auto"/>
          <w:sz w:val="32"/>
          <w:szCs w:val="32"/>
          <w:lang w:val="zh-CN"/>
        </w:rPr>
        <w:t>用车0辆、机要通信用车0辆、应急保障用车0辆、执法执勤用车0辆、特种专业技术用车0辆、离退休干部</w:t>
      </w:r>
      <w:r>
        <w:rPr>
          <w:rFonts w:hint="eastAsia" w:eastAsia="仿宋_GB2312"/>
          <w:color w:val="auto"/>
          <w:sz w:val="32"/>
          <w:szCs w:val="32"/>
        </w:rPr>
        <w:t>服务</w:t>
      </w:r>
      <w:r>
        <w:rPr>
          <w:rFonts w:hint="eastAsia" w:eastAsia="仿宋_GB2312"/>
          <w:color w:val="auto"/>
          <w:sz w:val="32"/>
          <w:szCs w:val="32"/>
          <w:lang w:val="zh-CN"/>
        </w:rPr>
        <w:t>用车0辆、其他用车0辆，</w:t>
      </w:r>
      <w:r>
        <w:rPr>
          <w:rFonts w:hint="eastAsia" w:eastAsia="仿宋_GB2312"/>
          <w:color w:val="auto"/>
          <w:sz w:val="32"/>
          <w:szCs w:val="32"/>
          <w:lang w:val="en-US" w:eastAsia="zh-CN"/>
        </w:rPr>
        <w:t>其他用车主要是：无其他用车。</w:t>
      </w:r>
      <w:r>
        <w:rPr>
          <w:rFonts w:hint="eastAsia" w:eastAsia="仿宋_GB2312"/>
          <w:color w:val="auto"/>
          <w:sz w:val="32"/>
          <w:szCs w:val="32"/>
          <w:lang w:val="zh-CN"/>
        </w:rPr>
        <w:t>单价100万元（含）以上设备（不含车辆）0</w:t>
      </w:r>
      <w:r>
        <w:rPr>
          <w:rFonts w:hint="eastAsia" w:eastAsia="仿宋_GB2312"/>
          <w:color w:val="auto"/>
          <w:sz w:val="32"/>
          <w:szCs w:val="32"/>
        </w:rPr>
        <w:t>台（</w:t>
      </w:r>
      <w:r>
        <w:rPr>
          <w:rFonts w:hint="eastAsia" w:eastAsia="仿宋_GB2312"/>
          <w:color w:val="auto"/>
          <w:sz w:val="32"/>
          <w:szCs w:val="32"/>
          <w:lang w:val="zh-CN"/>
        </w:rPr>
        <w:t>套）。</w:t>
      </w:r>
    </w:p>
    <w:p>
      <w:pPr>
        <w:ind w:firstLine="640" w:firstLineChars="200"/>
        <w:jc w:val="left"/>
        <w:outlineLvl w:val="1"/>
        <w:rPr>
          <w:rFonts w:hint="eastAsia" w:ascii="黑体" w:hAnsi="黑体" w:eastAsia="黑体" w:cs="宋体"/>
          <w:bCs/>
          <w:color w:val="auto"/>
          <w:kern w:val="0"/>
          <w:sz w:val="32"/>
          <w:szCs w:val="32"/>
        </w:rPr>
      </w:pPr>
      <w:bookmarkStart w:id="34" w:name="_Toc11283"/>
      <w:bookmarkStart w:id="35" w:name="_Toc435"/>
      <w:r>
        <w:rPr>
          <w:rFonts w:hint="eastAsia" w:ascii="黑体" w:hAnsi="黑体" w:eastAsia="黑体" w:cs="宋体"/>
          <w:bCs/>
          <w:color w:val="auto"/>
          <w:kern w:val="0"/>
          <w:sz w:val="32"/>
          <w:szCs w:val="32"/>
        </w:rPr>
        <w:t>十一、预算绩效的情况说明</w:t>
      </w:r>
      <w:bookmarkEnd w:id="34"/>
      <w:bookmarkEnd w:id="35"/>
      <w:r>
        <w:rPr>
          <w:rFonts w:hint="eastAsia"/>
          <w:color w:val="auto"/>
          <w:sz w:val="30"/>
          <w:szCs w:val="30"/>
        </w:rPr>
        <w:t>预算绩效的情况说明：</w:t>
      </w:r>
    </w:p>
    <w:p>
      <w:pPr>
        <w:ind w:firstLine="640" w:firstLineChars="200"/>
        <w:jc w:val="left"/>
        <w:rPr>
          <w:rFonts w:hint="eastAsia" w:ascii="仿宋_GB2312" w:eastAsia="仿宋_GB2312"/>
          <w:color w:val="auto"/>
          <w:sz w:val="32"/>
          <w:szCs w:val="32"/>
          <w:lang w:val="en-US" w:eastAsia="zh-CN"/>
        </w:rPr>
      </w:pPr>
      <w:r>
        <w:rPr>
          <w:rFonts w:hint="eastAsia" w:ascii="仿宋_GB2312" w:eastAsia="仿宋_GB2312"/>
          <w:color w:val="auto"/>
          <w:sz w:val="32"/>
          <w:szCs w:val="32"/>
        </w:rPr>
        <w:t>根据预算绩效管理要求，我部门2023年度</w:t>
      </w:r>
      <w:r>
        <w:rPr>
          <w:rFonts w:hint="eastAsia" w:ascii="仿宋_GB2312" w:hAnsi="仿宋_GB2312" w:eastAsia="仿宋_GB2312" w:cs="仿宋_GB2312"/>
          <w:color w:val="auto"/>
          <w:kern w:val="0"/>
          <w:sz w:val="32"/>
          <w:szCs w:val="32"/>
        </w:rPr>
        <w:t>预算绩效管理整体支出绩效自评表</w:t>
      </w:r>
      <w:r>
        <w:rPr>
          <w:rFonts w:hint="eastAsia" w:ascii="仿宋_GB2312" w:eastAsia="仿宋_GB2312"/>
          <w:color w:val="auto"/>
          <w:sz w:val="32"/>
          <w:szCs w:val="32"/>
          <w:lang w:val="en-US" w:eastAsia="zh-CN"/>
        </w:rPr>
        <w:t>1</w:t>
      </w:r>
      <w:r>
        <w:rPr>
          <w:rFonts w:hint="eastAsia" w:ascii="仿宋_GB2312" w:hAnsi="仿宋_GB2312" w:eastAsia="仿宋_GB2312" w:cs="仿宋_GB2312"/>
          <w:color w:val="auto"/>
          <w:kern w:val="0"/>
          <w:sz w:val="32"/>
          <w:szCs w:val="32"/>
        </w:rPr>
        <w:t>个，</w:t>
      </w:r>
      <w:r>
        <w:rPr>
          <w:rFonts w:hint="eastAsia" w:ascii="仿宋_GB2312" w:eastAsia="仿宋_GB2312"/>
          <w:color w:val="auto"/>
          <w:sz w:val="32"/>
          <w:szCs w:val="32"/>
        </w:rPr>
        <w:t>整体绩效全年预算总额789.07万元，执行总额789.07万元。预算绩效评价项目1个，全年预算数</w:t>
      </w:r>
      <w:r>
        <w:rPr>
          <w:rFonts w:hint="eastAsia" w:ascii="仿宋_GB2312" w:eastAsia="仿宋_GB2312"/>
          <w:color w:val="auto"/>
          <w:sz w:val="32"/>
          <w:szCs w:val="32"/>
          <w:lang w:eastAsia="zh-CN"/>
        </w:rPr>
        <w:t>为</w:t>
      </w:r>
      <w:r>
        <w:rPr>
          <w:rFonts w:hint="eastAsia" w:ascii="仿宋_GB2312" w:eastAsia="仿宋_GB2312"/>
          <w:color w:val="auto"/>
          <w:sz w:val="32"/>
          <w:szCs w:val="32"/>
        </w:rPr>
        <w:t>18.54万元，全年执行数</w:t>
      </w:r>
      <w:r>
        <w:rPr>
          <w:rFonts w:hint="eastAsia" w:ascii="仿宋_GB2312" w:eastAsia="仿宋_GB2312"/>
          <w:color w:val="auto"/>
          <w:sz w:val="32"/>
          <w:szCs w:val="32"/>
          <w:lang w:eastAsia="zh-CN"/>
        </w:rPr>
        <w:t>为</w:t>
      </w:r>
      <w:r>
        <w:rPr>
          <w:rFonts w:hint="eastAsia" w:ascii="仿宋_GB2312" w:eastAsia="仿宋_GB2312"/>
          <w:color w:val="auto"/>
          <w:sz w:val="32"/>
          <w:szCs w:val="32"/>
        </w:rPr>
        <w:t>15.14万元。预算绩效管理取得的成效：一是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二是</w:t>
      </w:r>
      <w:r>
        <w:rPr>
          <w:rFonts w:hint="eastAsia" w:ascii="仿宋_GB2312" w:eastAsia="仿宋_GB2312"/>
          <w:bCs/>
          <w:color w:val="auto"/>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eastAsia="仿宋_GB2312"/>
          <w:color w:val="auto"/>
          <w:sz w:val="32"/>
          <w:szCs w:val="32"/>
        </w:rPr>
        <w:t>。发现的问题及原因：一是</w:t>
      </w:r>
      <w:r>
        <w:rPr>
          <w:rFonts w:hint="eastAsia" w:ascii="仿宋_GB2312" w:eastAsia="仿宋_GB2312"/>
          <w:bCs/>
          <w:color w:val="auto"/>
          <w:sz w:val="32"/>
          <w:szCs w:val="32"/>
        </w:rPr>
        <w:t xml:space="preserve">在日常绩效监控工作中存在着一定程度的“重分配、轻管理、重支出、轻绩效”的情况，造成该问题的主要原因是自身绩效理念较薄弱 </w:t>
      </w:r>
      <w:r>
        <w:rPr>
          <w:rFonts w:hint="eastAsia" w:ascii="仿宋_GB2312" w:eastAsia="仿宋_GB2312"/>
          <w:color w:val="auto"/>
          <w:sz w:val="32"/>
          <w:szCs w:val="32"/>
        </w:rPr>
        <w:t>；二是</w:t>
      </w:r>
      <w:r>
        <w:rPr>
          <w:rFonts w:hint="eastAsia" w:ascii="仿宋_GB2312" w:eastAsia="仿宋_GB2312"/>
          <w:bCs/>
          <w:color w:val="auto"/>
          <w:sz w:val="32"/>
          <w:szCs w:val="32"/>
        </w:rPr>
        <w:t>单位绩效目标编制仍有缺失，需要进一步加强对资金绩效管理的重视程度</w:t>
      </w:r>
      <w:r>
        <w:rPr>
          <w:rFonts w:hint="eastAsia" w:ascii="仿宋_GB2312" w:eastAsia="仿宋_GB2312"/>
          <w:color w:val="auto"/>
          <w:sz w:val="32"/>
          <w:szCs w:val="32"/>
        </w:rPr>
        <w:t>。下一步改进措施：一是财务人员面对当前绩效管理工作既没有现成的经验可供借鉴，又缺乏专业性很强的技能储备，只能是边工作、边学习、边积累；二是内部分工作不能停留在表面， 做到程序规范、管理科学， 满足当前绩效管理要求</w:t>
      </w:r>
      <w:r>
        <w:rPr>
          <w:rFonts w:hint="eastAsia" w:ascii="仿宋_GB2312" w:eastAsia="仿宋_GB2312"/>
          <w:bCs/>
          <w:color w:val="auto"/>
          <w:sz w:val="32"/>
          <w:szCs w:val="32"/>
        </w:rPr>
        <w:t>。</w:t>
      </w:r>
      <w:r>
        <w:rPr>
          <w:rFonts w:hint="eastAsia" w:ascii="仿宋_GB2312" w:eastAsia="仿宋_GB2312"/>
          <w:color w:val="auto"/>
          <w:sz w:val="32"/>
          <w:szCs w:val="32"/>
        </w:rPr>
        <w:t>具体项目自评情况附绩效自评表及自评报告</w:t>
      </w:r>
      <w:r>
        <w:rPr>
          <w:rFonts w:hint="eastAsia" w:ascii="仿宋_GB2312" w:eastAsia="仿宋_GB2312"/>
          <w:bCs/>
          <w:color w:val="auto"/>
          <w:sz w:val="32"/>
          <w:szCs w:val="32"/>
        </w:rPr>
        <w:t>。</w:t>
      </w:r>
    </w:p>
    <w:p>
      <w:pPr>
        <w:ind w:firstLine="800" w:firstLineChars="250"/>
        <w:jc w:val="left"/>
        <w:rPr>
          <w:rFonts w:hint="eastAsia" w:ascii="仿宋_GB2312" w:hAnsi="仿宋_GB2312" w:eastAsia="仿宋_GB2312" w:cs="仿宋_GB2312"/>
          <w:color w:val="auto"/>
          <w:kern w:val="0"/>
          <w:sz w:val="32"/>
          <w:szCs w:val="32"/>
          <w:lang w:eastAsia="zh-Hans"/>
        </w:rPr>
      </w:pPr>
      <w:r>
        <w:rPr>
          <w:rFonts w:hint="eastAsia" w:ascii="仿宋_GB2312" w:eastAsia="仿宋_GB2312"/>
          <w:color w:val="auto"/>
          <w:sz w:val="32"/>
          <w:szCs w:val="32"/>
        </w:rPr>
        <w:t xml:space="preserve"> </w:t>
      </w:r>
    </w:p>
    <w:p>
      <w:pPr>
        <w:ind w:firstLine="640" w:firstLineChars="200"/>
        <w:jc w:val="left"/>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十二、其他需说明的事项</w:t>
      </w:r>
    </w:p>
    <w:p>
      <w:pPr>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本部门无其他需说明事项</w:t>
      </w:r>
    </w:p>
    <w:p>
      <w:pPr>
        <w:ind w:firstLine="643"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lang w:eastAsia="zh-Hans"/>
        </w:rPr>
        <w:t xml:space="preserve"> </w:t>
      </w:r>
    </w:p>
    <w:p>
      <w:pPr>
        <w:jc w:val="center"/>
        <w:outlineLvl w:val="0"/>
        <w:rPr>
          <w:rFonts w:hint="eastAsia" w:ascii="黑体" w:hAnsi="黑体" w:eastAsia="黑体"/>
          <w:color w:val="auto"/>
          <w:sz w:val="32"/>
          <w:szCs w:val="32"/>
        </w:rPr>
      </w:pPr>
      <w:bookmarkStart w:id="36" w:name="_Toc3250"/>
      <w:bookmarkStart w:id="37" w:name="_Toc24143"/>
      <w:r>
        <w:rPr>
          <w:rFonts w:hint="eastAsia" w:ascii="黑体" w:hAnsi="黑体" w:eastAsia="黑体"/>
          <w:color w:val="auto"/>
          <w:sz w:val="32"/>
          <w:szCs w:val="32"/>
        </w:rPr>
        <w:br w:type="page"/>
      </w:r>
      <w:r>
        <w:rPr>
          <w:rFonts w:hint="eastAsia" w:ascii="黑体" w:hAnsi="黑体" w:eastAsia="黑体"/>
          <w:color w:val="auto"/>
          <w:sz w:val="32"/>
          <w:szCs w:val="32"/>
        </w:rPr>
        <w:t>第三部分 专业名词解释</w:t>
      </w:r>
      <w:bookmarkEnd w:id="36"/>
      <w:bookmarkEnd w:id="37"/>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一、财政拨款收入：</w:t>
      </w:r>
      <w:r>
        <w:rPr>
          <w:rFonts w:hint="eastAsia" w:ascii="仿宋_GB2312" w:eastAsia="仿宋_GB2312"/>
          <w:color w:val="auto"/>
          <w:sz w:val="32"/>
          <w:szCs w:val="32"/>
        </w:rPr>
        <w:t>指同级财政当年拨付的资金。</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二、上级补助收入：</w:t>
      </w:r>
      <w:r>
        <w:rPr>
          <w:rFonts w:hint="eastAsia" w:ascii="仿宋_GB2312" w:eastAsia="仿宋_GB2312"/>
          <w:color w:val="auto"/>
          <w:sz w:val="32"/>
          <w:szCs w:val="32"/>
        </w:rPr>
        <w:t>指事业单位从主管部门和上级单位取得的非财政补助收入。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三、事业收入：</w:t>
      </w:r>
      <w:r>
        <w:rPr>
          <w:rFonts w:hint="eastAsia" w:ascii="仿宋_GB2312" w:eastAsia="仿宋_GB2312"/>
          <w:color w:val="auto"/>
          <w:sz w:val="32"/>
          <w:szCs w:val="32"/>
        </w:rPr>
        <w:t>指事业单位开展专业业务活动及其辅助活动所取得的收入。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四、经营收入：</w:t>
      </w:r>
      <w:r>
        <w:rPr>
          <w:rFonts w:hint="eastAsia" w:ascii="仿宋_GB2312" w:eastAsia="仿宋_GB2312"/>
          <w:color w:val="auto"/>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五、附属单位上缴收入：</w:t>
      </w:r>
      <w:r>
        <w:rPr>
          <w:rFonts w:hint="eastAsia" w:ascii="仿宋_GB2312" w:eastAsia="仿宋_GB2312"/>
          <w:color w:val="auto"/>
          <w:sz w:val="32"/>
          <w:szCs w:val="32"/>
        </w:rPr>
        <w:t>指事业单位附属的独立核算单位按有关规定上缴的收入。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六、其他收入：</w:t>
      </w:r>
      <w:r>
        <w:rPr>
          <w:rFonts w:hint="eastAsia" w:ascii="仿宋_GB2312" w:eastAsia="仿宋_GB2312"/>
          <w:color w:val="auto"/>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七、年初结转和结余：</w:t>
      </w:r>
      <w:r>
        <w:rPr>
          <w:rFonts w:hint="eastAsia" w:ascii="仿宋_GB2312" w:eastAsia="仿宋_GB2312"/>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八、年末结转和结余：</w:t>
      </w:r>
      <w:r>
        <w:rPr>
          <w:rFonts w:hint="eastAsia" w:ascii="仿宋_GB2312" w:eastAsia="仿宋_GB2312"/>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九、基本支出：</w:t>
      </w:r>
      <w:r>
        <w:rPr>
          <w:rFonts w:hint="eastAsia" w:ascii="仿宋_GB2312" w:eastAsia="仿宋_GB2312"/>
          <w:color w:val="auto"/>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十、项目支出：</w:t>
      </w:r>
      <w:r>
        <w:rPr>
          <w:rFonts w:hint="eastAsia" w:ascii="仿宋_GB2312" w:eastAsia="仿宋_GB2312"/>
          <w:color w:val="auto"/>
          <w:sz w:val="32"/>
          <w:szCs w:val="32"/>
        </w:rPr>
        <w:t>指在基本支出之外为完成特定行政任务和事业发展目标所发生的支出。</w:t>
      </w:r>
    </w:p>
    <w:p>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十一、经营支出：</w:t>
      </w:r>
      <w:r>
        <w:rPr>
          <w:rFonts w:hint="eastAsia" w:ascii="仿宋_GB2312" w:eastAsia="仿宋_GB2312"/>
          <w:color w:val="auto"/>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十二、对附属单位补助支出：</w:t>
      </w:r>
      <w:r>
        <w:rPr>
          <w:rFonts w:hint="eastAsia" w:ascii="仿宋_GB2312" w:eastAsia="仿宋_GB2312"/>
          <w:color w:val="auto"/>
          <w:sz w:val="32"/>
          <w:szCs w:val="32"/>
        </w:rPr>
        <w:t>指事业单位发生的用非财政预算资金对附属单位的补助支出。</w:t>
      </w:r>
    </w:p>
    <w:p>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十三、“三公”经费：</w:t>
      </w:r>
      <w:r>
        <w:rPr>
          <w:rFonts w:hint="eastAsia" w:ascii="仿宋_GB2312" w:eastAsia="仿宋_GB2312"/>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color w:val="auto"/>
          <w:sz w:val="32"/>
          <w:szCs w:val="32"/>
        </w:rPr>
      </w:pPr>
      <w:r>
        <w:rPr>
          <w:rFonts w:hint="eastAsia" w:ascii="仿宋_GB2312" w:eastAsia="仿宋_GB2312"/>
          <w:b/>
          <w:bCs/>
          <w:color w:val="auto"/>
          <w:sz w:val="32"/>
          <w:szCs w:val="32"/>
        </w:rPr>
        <w:t>十四、机关运行经费：</w:t>
      </w:r>
      <w:r>
        <w:rPr>
          <w:rFonts w:hint="eastAsia" w:ascii="仿宋_GB2312" w:eastAsia="仿宋_GB2312"/>
          <w:color w:val="auto"/>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color w:val="auto"/>
          <w:sz w:val="32"/>
          <w:szCs w:val="32"/>
        </w:rPr>
      </w:pPr>
      <w:r>
        <w:rPr>
          <w:rFonts w:hint="eastAsia" w:ascii="仿宋_GB2312" w:eastAsia="仿宋_GB2312"/>
          <w:color w:val="auto"/>
          <w:sz w:val="32"/>
          <w:szCs w:val="32"/>
        </w:rPr>
        <w:br w:type="page"/>
      </w:r>
      <w:r>
        <w:rPr>
          <w:rFonts w:hint="eastAsia" w:ascii="黑体" w:hAnsi="黑体" w:eastAsia="黑体"/>
          <w:color w:val="auto"/>
          <w:sz w:val="32"/>
          <w:szCs w:val="32"/>
        </w:rPr>
        <w:t>第四部分 部门决算报表（见附表）</w:t>
      </w:r>
    </w:p>
    <w:p>
      <w:pPr>
        <w:ind w:firstLine="640" w:firstLineChars="200"/>
        <w:outlineLvl w:val="1"/>
        <w:rPr>
          <w:rFonts w:hint="eastAsia" w:ascii="黑体" w:hAnsi="黑体" w:eastAsia="仿宋_GB2312" w:cs="宋体"/>
          <w:bCs/>
          <w:color w:val="auto"/>
          <w:kern w:val="0"/>
          <w:sz w:val="32"/>
          <w:szCs w:val="32"/>
        </w:rPr>
      </w:pPr>
      <w:bookmarkStart w:id="38" w:name="_Toc6062"/>
      <w:bookmarkStart w:id="39" w:name="_Toc2183"/>
      <w:r>
        <w:rPr>
          <w:rFonts w:hint="eastAsia" w:ascii="黑体" w:hAnsi="黑体" w:eastAsia="仿宋_GB2312" w:cs="宋体"/>
          <w:bCs/>
          <w:color w:val="auto"/>
          <w:kern w:val="0"/>
          <w:sz w:val="32"/>
          <w:szCs w:val="32"/>
        </w:rPr>
        <w:t>一、《收入支出决算总表》</w:t>
      </w:r>
      <w:bookmarkEnd w:id="38"/>
      <w:bookmarkEnd w:id="39"/>
    </w:p>
    <w:p>
      <w:pPr>
        <w:ind w:firstLine="640" w:firstLineChars="200"/>
        <w:outlineLvl w:val="1"/>
        <w:rPr>
          <w:rFonts w:hint="eastAsia" w:ascii="黑体" w:hAnsi="黑体" w:eastAsia="仿宋_GB2312" w:cs="宋体"/>
          <w:bCs/>
          <w:color w:val="auto"/>
          <w:kern w:val="0"/>
          <w:sz w:val="32"/>
          <w:szCs w:val="32"/>
        </w:rPr>
      </w:pPr>
      <w:bookmarkStart w:id="40" w:name="_Toc24532"/>
      <w:bookmarkStart w:id="41" w:name="_Toc30364"/>
      <w:r>
        <w:rPr>
          <w:rFonts w:hint="eastAsia" w:ascii="黑体" w:hAnsi="黑体" w:eastAsia="仿宋_GB2312" w:cs="宋体"/>
          <w:bCs/>
          <w:color w:val="auto"/>
          <w:kern w:val="0"/>
          <w:sz w:val="32"/>
          <w:szCs w:val="32"/>
        </w:rPr>
        <w:t>二、《收入决算表》</w:t>
      </w:r>
      <w:bookmarkEnd w:id="40"/>
      <w:bookmarkEnd w:id="41"/>
    </w:p>
    <w:p>
      <w:pPr>
        <w:ind w:firstLine="640" w:firstLineChars="200"/>
        <w:outlineLvl w:val="1"/>
        <w:rPr>
          <w:rFonts w:hint="eastAsia" w:ascii="黑体" w:hAnsi="黑体" w:eastAsia="仿宋_GB2312" w:cs="宋体"/>
          <w:bCs/>
          <w:color w:val="auto"/>
          <w:kern w:val="0"/>
          <w:sz w:val="32"/>
          <w:szCs w:val="32"/>
        </w:rPr>
      </w:pPr>
      <w:bookmarkStart w:id="42" w:name="_Toc32434"/>
      <w:bookmarkStart w:id="43" w:name="_Toc21304"/>
      <w:r>
        <w:rPr>
          <w:rFonts w:hint="eastAsia" w:ascii="黑体" w:hAnsi="黑体" w:eastAsia="仿宋_GB2312" w:cs="宋体"/>
          <w:bCs/>
          <w:color w:val="auto"/>
          <w:kern w:val="0"/>
          <w:sz w:val="32"/>
          <w:szCs w:val="32"/>
        </w:rPr>
        <w:t>三、《支出决算表》</w:t>
      </w:r>
      <w:bookmarkEnd w:id="42"/>
      <w:bookmarkEnd w:id="43"/>
    </w:p>
    <w:p>
      <w:pPr>
        <w:ind w:firstLine="640" w:firstLineChars="200"/>
        <w:outlineLvl w:val="1"/>
        <w:rPr>
          <w:rFonts w:hint="eastAsia" w:ascii="黑体" w:hAnsi="黑体" w:eastAsia="仿宋_GB2312" w:cs="宋体"/>
          <w:bCs/>
          <w:color w:val="auto"/>
          <w:kern w:val="0"/>
          <w:sz w:val="32"/>
          <w:szCs w:val="32"/>
        </w:rPr>
      </w:pPr>
      <w:bookmarkStart w:id="44" w:name="_Toc14238"/>
      <w:bookmarkStart w:id="45" w:name="_Toc28786"/>
      <w:r>
        <w:rPr>
          <w:rFonts w:hint="eastAsia" w:ascii="黑体" w:hAnsi="黑体" w:eastAsia="仿宋_GB2312" w:cs="宋体"/>
          <w:bCs/>
          <w:color w:val="auto"/>
          <w:kern w:val="0"/>
          <w:sz w:val="32"/>
          <w:szCs w:val="32"/>
        </w:rPr>
        <w:t>四、《财政拨款收入支出决算总表》</w:t>
      </w:r>
      <w:bookmarkEnd w:id="44"/>
      <w:bookmarkEnd w:id="45"/>
    </w:p>
    <w:p>
      <w:pPr>
        <w:ind w:firstLine="640" w:firstLineChars="200"/>
        <w:outlineLvl w:val="1"/>
        <w:rPr>
          <w:rFonts w:hint="eastAsia" w:ascii="黑体" w:hAnsi="黑体" w:eastAsia="仿宋_GB2312" w:cs="宋体"/>
          <w:bCs/>
          <w:color w:val="auto"/>
          <w:kern w:val="0"/>
          <w:sz w:val="32"/>
          <w:szCs w:val="32"/>
        </w:rPr>
      </w:pPr>
      <w:bookmarkStart w:id="46" w:name="_Toc10347"/>
      <w:bookmarkStart w:id="47" w:name="_Toc14869"/>
      <w:r>
        <w:rPr>
          <w:rFonts w:hint="eastAsia" w:ascii="黑体" w:hAnsi="黑体" w:eastAsia="仿宋_GB2312" w:cs="宋体"/>
          <w:bCs/>
          <w:color w:val="auto"/>
          <w:kern w:val="0"/>
          <w:sz w:val="32"/>
          <w:szCs w:val="32"/>
        </w:rPr>
        <w:t>五、《一般公共预算财政拨款支出决算表》</w:t>
      </w:r>
      <w:bookmarkEnd w:id="46"/>
      <w:bookmarkEnd w:id="47"/>
    </w:p>
    <w:p>
      <w:pPr>
        <w:ind w:firstLine="640" w:firstLineChars="200"/>
        <w:outlineLvl w:val="1"/>
        <w:rPr>
          <w:rFonts w:hint="eastAsia" w:ascii="黑体" w:hAnsi="黑体" w:eastAsia="仿宋_GB2312" w:cs="宋体"/>
          <w:bCs/>
          <w:color w:val="auto"/>
          <w:kern w:val="0"/>
          <w:sz w:val="32"/>
          <w:szCs w:val="32"/>
        </w:rPr>
      </w:pPr>
      <w:bookmarkStart w:id="48" w:name="_Toc8884"/>
      <w:bookmarkStart w:id="49" w:name="_Toc5626"/>
      <w:r>
        <w:rPr>
          <w:rFonts w:hint="eastAsia" w:ascii="黑体" w:hAnsi="黑体" w:eastAsia="仿宋_GB2312" w:cs="宋体"/>
          <w:bCs/>
          <w:color w:val="auto"/>
          <w:kern w:val="0"/>
          <w:sz w:val="32"/>
          <w:szCs w:val="32"/>
        </w:rPr>
        <w:t>六、《一般公共预算财政拨款基本支出决算表》</w:t>
      </w:r>
      <w:bookmarkEnd w:id="48"/>
      <w:bookmarkEnd w:id="49"/>
    </w:p>
    <w:p>
      <w:pPr>
        <w:ind w:firstLine="640" w:firstLineChars="200"/>
        <w:outlineLvl w:val="1"/>
        <w:rPr>
          <w:rFonts w:hint="eastAsia"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七、</w:t>
      </w:r>
      <w:bookmarkStart w:id="50" w:name="_Toc32663"/>
      <w:bookmarkStart w:id="51" w:name="_Toc29106"/>
      <w:r>
        <w:rPr>
          <w:rFonts w:hint="eastAsia" w:ascii="黑体" w:hAnsi="黑体" w:eastAsia="仿宋_GB2312" w:cs="宋体"/>
          <w:bCs/>
          <w:color w:val="auto"/>
          <w:kern w:val="0"/>
          <w:sz w:val="32"/>
          <w:szCs w:val="32"/>
        </w:rPr>
        <w:t>《财政拨款“三公”经费支出决算表》</w:t>
      </w:r>
      <w:bookmarkEnd w:id="50"/>
      <w:bookmarkEnd w:id="51"/>
    </w:p>
    <w:p>
      <w:pPr>
        <w:ind w:firstLine="640" w:firstLineChars="200"/>
        <w:outlineLvl w:val="1"/>
        <w:rPr>
          <w:rFonts w:hint="eastAsia" w:ascii="黑体" w:hAnsi="黑体" w:eastAsia="仿宋_GB2312" w:cs="宋体"/>
          <w:bCs/>
          <w:color w:val="auto"/>
          <w:kern w:val="0"/>
          <w:sz w:val="32"/>
          <w:szCs w:val="32"/>
        </w:rPr>
      </w:pPr>
      <w:bookmarkStart w:id="52" w:name="_Toc5453"/>
      <w:bookmarkStart w:id="53" w:name="_Toc7643"/>
      <w:r>
        <w:rPr>
          <w:rFonts w:hint="eastAsia" w:ascii="黑体" w:hAnsi="黑体" w:eastAsia="仿宋_GB2312" w:cs="宋体"/>
          <w:bCs/>
          <w:color w:val="auto"/>
          <w:kern w:val="0"/>
          <w:sz w:val="32"/>
          <w:szCs w:val="32"/>
        </w:rPr>
        <w:t>八、《政府性基金预算财政拨款收入支出决算表》</w:t>
      </w:r>
      <w:bookmarkEnd w:id="52"/>
      <w:bookmarkEnd w:id="53"/>
    </w:p>
    <w:p>
      <w:pPr>
        <w:ind w:firstLine="640" w:firstLineChars="200"/>
        <w:outlineLvl w:val="1"/>
        <w:rPr>
          <w:rFonts w:hint="eastAsia"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九、《国有资本经营预算财政拨款收入支出决算表》</w:t>
      </w: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rPr>
          <w:color w:val="auto"/>
        </w:rPr>
      </w:pPr>
      <w:r>
        <w:rPr>
          <w:color w:val="auto"/>
        </w:rPr>
        <w:object>
          <v:shape id="_x0000_i1025" o:spt="75" type="#_x0000_t75" style="height:440.15pt;width:415.1pt;" o:ole="t" filled="f" o:preferrelative="t" stroked="f" coordsize="21600,21600">
            <v:path/>
            <v:fill on="f" focussize="0,0"/>
            <v:stroke on="f" joinstyle="miter"/>
            <v:imagedata r:id="rId7" o:title=""/>
            <o:lock v:ext="edit" aspectratio="f"/>
            <w10:wrap type="none"/>
            <w10:anchorlock/>
          </v:shape>
          <o:OLEObject Type="Embed" ProgID="Excel.Sheet.12" ShapeID="_x0000_i1025" DrawAspect="Content" ObjectID="_1468075725" r:id="rId6">
            <o:LockedField>false</o:LockedField>
          </o:OLEObject>
        </w:object>
      </w:r>
    </w:p>
    <w:p>
      <w:pPr>
        <w:rPr>
          <w:color w:val="auto"/>
        </w:rPr>
      </w:pPr>
      <w:r>
        <w:rPr>
          <w:color w:val="auto"/>
        </w:rPr>
        <w:br w:type="page"/>
      </w:r>
    </w:p>
    <w:p>
      <w:pPr>
        <w:rPr>
          <w:color w:val="auto"/>
        </w:rPr>
      </w:pPr>
      <w:r>
        <w:rPr>
          <w:color w:val="auto"/>
        </w:rPr>
        <w:object>
          <v:shape id="_x0000_i1026" o:spt="75" type="#_x0000_t75" style="height:415.7pt;width:451.4pt;" o:ole="t" filled="f" o:preferrelative="t" stroked="f" coordsize="21600,21600">
            <v:path/>
            <v:fill on="f" focussize="0,0"/>
            <v:stroke on="f" joinstyle="miter"/>
            <v:imagedata r:id="rId9" o:title=""/>
            <o:lock v:ext="edit" aspectratio="f"/>
            <w10:wrap type="none"/>
            <w10:anchorlock/>
          </v:shape>
          <o:OLEObject Type="Embed" ProgID="Excel.Sheet.12" ShapeID="_x0000_i1026" DrawAspect="Content" ObjectID="_1468075726" r:id="rId8">
            <o:LockedField>false</o:LockedField>
          </o:OLEObject>
        </w:object>
      </w:r>
    </w:p>
    <w:p>
      <w:pPr>
        <w:rPr>
          <w:color w:val="auto"/>
        </w:rPr>
      </w:pPr>
      <w:r>
        <w:rPr>
          <w:color w:val="auto"/>
        </w:rPr>
        <w:br w:type="page"/>
      </w:r>
    </w:p>
    <w:p>
      <w:pPr>
        <w:rPr>
          <w:color w:val="auto"/>
        </w:rPr>
      </w:pPr>
      <w:r>
        <w:rPr>
          <w:color w:val="auto"/>
        </w:rPr>
        <w:object>
          <v:shape id="_x0000_i1027" o:spt="75" type="#_x0000_t75" style="height:486.45pt;width:451.4pt;" o:ole="t" filled="f" o:preferrelative="t" stroked="f" coordsize="21600,21600">
            <v:path/>
            <v:fill on="f" focussize="0,0"/>
            <v:stroke on="f" joinstyle="miter"/>
            <v:imagedata r:id="rId11" o:title=""/>
            <o:lock v:ext="edit" aspectratio="f"/>
            <w10:wrap type="none"/>
            <w10:anchorlock/>
          </v:shape>
          <o:OLEObject Type="Embed" ProgID="Excel.Sheet.12" ShapeID="_x0000_i1027" DrawAspect="Content" ObjectID="_1468075727" r:id="rId10">
            <o:LockedField>false</o:LockedField>
          </o:OLEObject>
        </w:object>
      </w:r>
    </w:p>
    <w:p>
      <w:pPr>
        <w:rPr>
          <w:color w:val="auto"/>
        </w:rPr>
      </w:pPr>
      <w:r>
        <w:rPr>
          <w:color w:val="auto"/>
        </w:rPr>
        <w:br w:type="page"/>
      </w:r>
    </w:p>
    <w:p>
      <w:pPr>
        <w:rPr>
          <w:color w:val="auto"/>
        </w:rPr>
      </w:pPr>
      <w:r>
        <w:rPr>
          <w:color w:val="auto"/>
        </w:rPr>
        <w:object>
          <v:shape id="_x0000_i1028" o:spt="75" type="#_x0000_t75" style="height:440.75pt;width:450.8pt;" o:ole="t" filled="f" o:preferrelative="t" stroked="f" coordsize="21600,21600">
            <v:path/>
            <v:fill on="f" focussize="0,0"/>
            <v:stroke on="f" joinstyle="miter"/>
            <v:imagedata r:id="rId13" o:title=""/>
            <o:lock v:ext="edit" aspectratio="f"/>
            <w10:wrap type="none"/>
            <w10:anchorlock/>
          </v:shape>
          <o:OLEObject Type="Embed" ProgID="Excel.Sheet.12" ShapeID="_x0000_i1028" DrawAspect="Content" ObjectID="_1468075728" r:id="rId12">
            <o:LockedField>false</o:LockedField>
          </o:OLEObject>
        </w:object>
      </w:r>
    </w:p>
    <w:p>
      <w:pPr>
        <w:rPr>
          <w:color w:val="auto"/>
        </w:rPr>
      </w:pPr>
      <w:r>
        <w:rPr>
          <w:color w:val="auto"/>
        </w:rPr>
        <w:br w:type="page"/>
      </w:r>
    </w:p>
    <w:p>
      <w:pPr>
        <w:rPr>
          <w:color w:val="auto"/>
        </w:rPr>
      </w:pPr>
      <w:r>
        <w:rPr>
          <w:color w:val="auto"/>
        </w:rPr>
        <w:object>
          <v:shape id="_x0000_i1029" o:spt="75" type="#_x0000_t75" style="height:487.7pt;width:451.4pt;" o:ole="t" filled="f" o:preferrelative="t" stroked="f" coordsize="21600,21600">
            <v:path/>
            <v:fill on="f" focussize="0,0"/>
            <v:stroke on="f" joinstyle="miter"/>
            <v:imagedata r:id="rId15" o:title=""/>
            <o:lock v:ext="edit" aspectratio="f"/>
            <w10:wrap type="none"/>
            <w10:anchorlock/>
          </v:shape>
          <o:OLEObject Type="Embed" ProgID="Excel.Sheet.12" ShapeID="_x0000_i1029" DrawAspect="Content" ObjectID="_1468075729" r:id="rId14">
            <o:LockedField>false</o:LockedField>
          </o:OLEObject>
        </w:object>
      </w:r>
    </w:p>
    <w:p>
      <w:pPr>
        <w:rPr>
          <w:color w:val="auto"/>
        </w:rPr>
      </w:pPr>
      <w:r>
        <w:rPr>
          <w:color w:val="auto"/>
        </w:rPr>
        <w:br w:type="page"/>
      </w:r>
    </w:p>
    <w:p>
      <w:pPr>
        <w:rPr>
          <w:color w:val="auto"/>
        </w:rPr>
      </w:pPr>
      <w:r>
        <w:rPr>
          <w:color w:val="auto"/>
        </w:rPr>
        <w:drawing>
          <wp:inline distT="0" distB="0" distL="114300" distR="114300">
            <wp:extent cx="6041390" cy="5958205"/>
            <wp:effectExtent l="0" t="0" r="16510" b="444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6"/>
                    <a:stretch>
                      <a:fillRect/>
                    </a:stretch>
                  </pic:blipFill>
                  <pic:spPr>
                    <a:xfrm>
                      <a:off x="0" y="0"/>
                      <a:ext cx="6041390" cy="5958205"/>
                    </a:xfrm>
                    <a:prstGeom prst="rect">
                      <a:avLst/>
                    </a:prstGeom>
                    <a:noFill/>
                    <a:ln>
                      <a:noFill/>
                    </a:ln>
                  </pic:spPr>
                </pic:pic>
              </a:graphicData>
            </a:graphic>
          </wp:inline>
        </w:drawing>
      </w:r>
    </w:p>
    <w:p>
      <w:pPr>
        <w:rPr>
          <w:color w:val="auto"/>
        </w:rPr>
      </w:pPr>
      <w:r>
        <w:rPr>
          <w:color w:val="auto"/>
        </w:rPr>
        <w:br w:type="page"/>
      </w:r>
    </w:p>
    <w:p>
      <w:pPr>
        <w:rPr>
          <w:color w:val="auto"/>
        </w:rPr>
      </w:pPr>
      <w:r>
        <w:rPr>
          <w:color w:val="auto"/>
        </w:rPr>
        <w:object>
          <v:shape id="_x0000_i1030" o:spt="75" type="#_x0000_t75" style="height:142.1pt;width:470.8pt;" o:ole="t" filled="f" o:preferrelative="t" stroked="f" coordsize="21600,21600">
            <v:path/>
            <v:fill on="f" focussize="0,0"/>
            <v:stroke on="f" joinstyle="miter"/>
            <v:imagedata r:id="rId18" o:title=""/>
            <o:lock v:ext="edit" aspectratio="f"/>
            <w10:wrap type="none"/>
            <w10:anchorlock/>
          </v:shape>
          <o:OLEObject Type="Embed" ProgID="Excel.Sheet.12" ShapeID="_x0000_i1030" DrawAspect="Content" ObjectID="_1468075730" r:id="rId17">
            <o:LockedField>false</o:LockedField>
          </o:OLEObject>
        </w:object>
      </w:r>
    </w:p>
    <w:p>
      <w:pPr>
        <w:rPr>
          <w:color w:val="auto"/>
        </w:rPr>
      </w:pPr>
      <w:r>
        <w:rPr>
          <w:color w:val="auto"/>
        </w:rPr>
        <w:br w:type="page"/>
      </w:r>
    </w:p>
    <w:p>
      <w:pPr>
        <w:rPr>
          <w:color w:val="auto"/>
        </w:rPr>
      </w:pPr>
      <w:r>
        <w:rPr>
          <w:color w:val="auto"/>
        </w:rPr>
        <w:object>
          <v:shape id="_x0000_i1031" o:spt="75" type="#_x0000_t75" style="height:142.1pt;width:450.8pt;" o:ole="t" filled="f" o:preferrelative="t" stroked="f" coordsize="21600,21600">
            <v:path/>
            <v:fill on="f" focussize="0,0"/>
            <v:stroke on="f" joinstyle="miter"/>
            <v:imagedata r:id="rId20" o:title=""/>
            <o:lock v:ext="edit" aspectratio="f"/>
            <w10:wrap type="none"/>
            <w10:anchorlock/>
          </v:shape>
          <o:OLEObject Type="Embed" ProgID="Excel.Sheet.12" ShapeID="_x0000_i1031" DrawAspect="Content" ObjectID="_1468075731" r:id="rId19">
            <o:LockedField>false</o:LockedField>
          </o:OLEObject>
        </w:object>
      </w:r>
    </w:p>
    <w:p>
      <w:pPr>
        <w:rPr>
          <w:color w:val="auto"/>
        </w:rPr>
      </w:pPr>
      <w:r>
        <w:rPr>
          <w:color w:val="auto"/>
        </w:rPr>
        <w:br w:type="page"/>
      </w:r>
    </w:p>
    <w:p>
      <w:pPr>
        <w:rPr>
          <w:color w:val="auto"/>
        </w:rPr>
      </w:pPr>
      <w:r>
        <w:rPr>
          <w:color w:val="auto"/>
        </w:rPr>
        <w:object>
          <v:shape id="_x0000_i1032" o:spt="75" type="#_x0000_t75" style="height:157.75pt;width:451.4pt;" o:ole="t" filled="f" o:preferrelative="t" stroked="f" coordsize="21600,21600">
            <v:path/>
            <v:fill on="f" focussize="0,0"/>
            <v:stroke on="f" joinstyle="miter"/>
            <v:imagedata r:id="rId22" o:title=""/>
            <o:lock v:ext="edit" aspectratio="f"/>
            <w10:wrap type="none"/>
            <w10:anchorlock/>
          </v:shape>
          <o:OLEObject Type="Embed" ProgID="Excel.Sheet.12" ShapeID="_x0000_i1032" DrawAspect="Content" ObjectID="_1468075732" r:id="rId21">
            <o:LockedField>false</o:LockedField>
          </o:OLEObject>
        </w:object>
      </w:r>
    </w:p>
    <w:p>
      <w:pPr>
        <w:outlineLvl w:val="1"/>
        <w:rPr>
          <w:rFonts w:hint="eastAsia" w:ascii="黑体" w:hAnsi="黑体" w:eastAsia="黑体" w:cs="宋体"/>
          <w:bCs/>
          <w:color w:val="auto"/>
          <w:kern w:val="0"/>
          <w:sz w:val="32"/>
          <w:szCs w:val="32"/>
        </w:rPr>
      </w:pPr>
      <w:r>
        <w:rPr>
          <w:rFonts w:hint="eastAsia" w:ascii="宋体" w:hAnsi="宋体" w:cs="Arial"/>
          <w:b/>
          <w:bCs/>
          <w:color w:val="auto"/>
          <w:kern w:val="0"/>
          <w:sz w:val="36"/>
          <w:szCs w:val="36"/>
        </w:rPr>
        <w:t xml:space="preserve"> </w:t>
      </w:r>
    </w:p>
    <w:sectPr>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p>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p>
    <w:pPr>
      <w:pStyle w:val="5"/>
      <w:jc w:val="cente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FABE58"/>
    <w:multiLevelType w:val="singleLevel"/>
    <w:tmpl w:val="C9FABE58"/>
    <w:lvl w:ilvl="0" w:tentative="0">
      <w:start w:val="14"/>
      <w:numFmt w:val="decimal"/>
      <w:lvlText w:val="%1."/>
      <w:lvlJc w:val="left"/>
      <w:pPr>
        <w:tabs>
          <w:tab w:val="left" w:pos="312"/>
        </w:tabs>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5NjZiM2IyZWFiNTE0OTIzMTIyOThkY2M5NTZkN2MifQ=="/>
    <w:docVar w:name="KSO_WPS_MARK_KEY" w:val="41ee2a61-2d54-4f93-83be-afdb9a40d732"/>
  </w:docVars>
  <w:rsids>
    <w:rsidRoot w:val="000A763F"/>
    <w:rsid w:val="000A763F"/>
    <w:rsid w:val="000D2B14"/>
    <w:rsid w:val="001642B3"/>
    <w:rsid w:val="00213C59"/>
    <w:rsid w:val="0022440A"/>
    <w:rsid w:val="00261764"/>
    <w:rsid w:val="002A7675"/>
    <w:rsid w:val="003210CE"/>
    <w:rsid w:val="003652DE"/>
    <w:rsid w:val="00386E29"/>
    <w:rsid w:val="003F5653"/>
    <w:rsid w:val="00437505"/>
    <w:rsid w:val="00475C01"/>
    <w:rsid w:val="0049109F"/>
    <w:rsid w:val="004C2968"/>
    <w:rsid w:val="004C30E3"/>
    <w:rsid w:val="0061051F"/>
    <w:rsid w:val="006B4ADF"/>
    <w:rsid w:val="006B6671"/>
    <w:rsid w:val="006D6B6D"/>
    <w:rsid w:val="00713F27"/>
    <w:rsid w:val="007C530D"/>
    <w:rsid w:val="007D7A62"/>
    <w:rsid w:val="0083095E"/>
    <w:rsid w:val="00877EC9"/>
    <w:rsid w:val="008C1C98"/>
    <w:rsid w:val="008E142E"/>
    <w:rsid w:val="009B75D7"/>
    <w:rsid w:val="009D7A3C"/>
    <w:rsid w:val="009E05A8"/>
    <w:rsid w:val="00B1481F"/>
    <w:rsid w:val="00B46E2F"/>
    <w:rsid w:val="00B70D59"/>
    <w:rsid w:val="00B97D8C"/>
    <w:rsid w:val="00C00C4E"/>
    <w:rsid w:val="00C910BE"/>
    <w:rsid w:val="00C92B50"/>
    <w:rsid w:val="00CB505E"/>
    <w:rsid w:val="00D52D0B"/>
    <w:rsid w:val="00DC1AA3"/>
    <w:rsid w:val="00E84F3D"/>
    <w:rsid w:val="00EC1835"/>
    <w:rsid w:val="00F04128"/>
    <w:rsid w:val="00F52A8D"/>
    <w:rsid w:val="019404F8"/>
    <w:rsid w:val="01C17C43"/>
    <w:rsid w:val="023737C8"/>
    <w:rsid w:val="02BD3108"/>
    <w:rsid w:val="02F51FA6"/>
    <w:rsid w:val="02F73D26"/>
    <w:rsid w:val="034D4FEF"/>
    <w:rsid w:val="035D1785"/>
    <w:rsid w:val="039F47CE"/>
    <w:rsid w:val="03E05CE8"/>
    <w:rsid w:val="03EA3391"/>
    <w:rsid w:val="03F973EE"/>
    <w:rsid w:val="043E5B56"/>
    <w:rsid w:val="045E1F90"/>
    <w:rsid w:val="04C04386"/>
    <w:rsid w:val="04FA68C4"/>
    <w:rsid w:val="053F5AE6"/>
    <w:rsid w:val="057C0B0F"/>
    <w:rsid w:val="05C87A3A"/>
    <w:rsid w:val="05EF4B48"/>
    <w:rsid w:val="05F76ECA"/>
    <w:rsid w:val="06792773"/>
    <w:rsid w:val="06C454D2"/>
    <w:rsid w:val="07093795"/>
    <w:rsid w:val="07804730"/>
    <w:rsid w:val="079052BE"/>
    <w:rsid w:val="08145C21"/>
    <w:rsid w:val="08422688"/>
    <w:rsid w:val="085854ED"/>
    <w:rsid w:val="0879188F"/>
    <w:rsid w:val="08A0354D"/>
    <w:rsid w:val="08CD4C49"/>
    <w:rsid w:val="08F1704D"/>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2471F"/>
    <w:rsid w:val="0CA52EE8"/>
    <w:rsid w:val="0CBD6988"/>
    <w:rsid w:val="0CD208AC"/>
    <w:rsid w:val="0D4903E8"/>
    <w:rsid w:val="0D5058C4"/>
    <w:rsid w:val="0D7A4A46"/>
    <w:rsid w:val="0E640559"/>
    <w:rsid w:val="0F1113DA"/>
    <w:rsid w:val="0F78534A"/>
    <w:rsid w:val="0F89358A"/>
    <w:rsid w:val="0F8C6D51"/>
    <w:rsid w:val="105B0B5E"/>
    <w:rsid w:val="10FF457A"/>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C83316"/>
    <w:rsid w:val="19D26CD4"/>
    <w:rsid w:val="19E60D19"/>
    <w:rsid w:val="1A3E3450"/>
    <w:rsid w:val="1AD807E5"/>
    <w:rsid w:val="1B39345B"/>
    <w:rsid w:val="1BFB2A1F"/>
    <w:rsid w:val="1C015D4A"/>
    <w:rsid w:val="1C290ED5"/>
    <w:rsid w:val="1C317E4F"/>
    <w:rsid w:val="1C472464"/>
    <w:rsid w:val="1D22799A"/>
    <w:rsid w:val="1D5C1A72"/>
    <w:rsid w:val="1DAF458D"/>
    <w:rsid w:val="1DF91CC8"/>
    <w:rsid w:val="1E086ACE"/>
    <w:rsid w:val="1E62130A"/>
    <w:rsid w:val="1E97358B"/>
    <w:rsid w:val="1EAA4A5F"/>
    <w:rsid w:val="1EE869A7"/>
    <w:rsid w:val="1F6C716D"/>
    <w:rsid w:val="1FA15E62"/>
    <w:rsid w:val="1FED69B6"/>
    <w:rsid w:val="2064678E"/>
    <w:rsid w:val="20DC1AB9"/>
    <w:rsid w:val="20DD6197"/>
    <w:rsid w:val="212631E0"/>
    <w:rsid w:val="21A53757"/>
    <w:rsid w:val="221236C6"/>
    <w:rsid w:val="22D7662C"/>
    <w:rsid w:val="23326B7F"/>
    <w:rsid w:val="236B0995"/>
    <w:rsid w:val="2380045B"/>
    <w:rsid w:val="23BC04D2"/>
    <w:rsid w:val="23EF1892"/>
    <w:rsid w:val="2483647E"/>
    <w:rsid w:val="24A32D55"/>
    <w:rsid w:val="24D01422"/>
    <w:rsid w:val="25292727"/>
    <w:rsid w:val="252E5CA9"/>
    <w:rsid w:val="256F7692"/>
    <w:rsid w:val="25BA2154"/>
    <w:rsid w:val="25C8773F"/>
    <w:rsid w:val="25E2413D"/>
    <w:rsid w:val="264A7253"/>
    <w:rsid w:val="26F0170C"/>
    <w:rsid w:val="27201D62"/>
    <w:rsid w:val="27286E73"/>
    <w:rsid w:val="27503452"/>
    <w:rsid w:val="27CF2642"/>
    <w:rsid w:val="27E777F5"/>
    <w:rsid w:val="27EA1D4C"/>
    <w:rsid w:val="27EA2E41"/>
    <w:rsid w:val="282459E2"/>
    <w:rsid w:val="283A7FE5"/>
    <w:rsid w:val="285F51FF"/>
    <w:rsid w:val="28DF2665"/>
    <w:rsid w:val="29072599"/>
    <w:rsid w:val="291029F3"/>
    <w:rsid w:val="29CB58F0"/>
    <w:rsid w:val="2A053397"/>
    <w:rsid w:val="2A145E96"/>
    <w:rsid w:val="2ABA41CB"/>
    <w:rsid w:val="2AF5378F"/>
    <w:rsid w:val="2BB94DBF"/>
    <w:rsid w:val="2C0D4D7E"/>
    <w:rsid w:val="2C6F314E"/>
    <w:rsid w:val="2CC206BE"/>
    <w:rsid w:val="2D1136DF"/>
    <w:rsid w:val="2D20606D"/>
    <w:rsid w:val="2DB87198"/>
    <w:rsid w:val="2DB93C54"/>
    <w:rsid w:val="2E3D144C"/>
    <w:rsid w:val="2E891204"/>
    <w:rsid w:val="2F3F0A28"/>
    <w:rsid w:val="2F5F59BC"/>
    <w:rsid w:val="2FBF7029"/>
    <w:rsid w:val="2FD0187F"/>
    <w:rsid w:val="2FD27414"/>
    <w:rsid w:val="2FFE4BB0"/>
    <w:rsid w:val="300E7B60"/>
    <w:rsid w:val="300F6E18"/>
    <w:rsid w:val="30862F5F"/>
    <w:rsid w:val="314029C9"/>
    <w:rsid w:val="31C63837"/>
    <w:rsid w:val="31C82E39"/>
    <w:rsid w:val="31F41045"/>
    <w:rsid w:val="321458B1"/>
    <w:rsid w:val="32601BAD"/>
    <w:rsid w:val="329F6389"/>
    <w:rsid w:val="32A53B4C"/>
    <w:rsid w:val="3389023A"/>
    <w:rsid w:val="33CB74FA"/>
    <w:rsid w:val="34065760"/>
    <w:rsid w:val="343642F2"/>
    <w:rsid w:val="343F3010"/>
    <w:rsid w:val="345D0A00"/>
    <w:rsid w:val="34713BFD"/>
    <w:rsid w:val="34C13589"/>
    <w:rsid w:val="353369E3"/>
    <w:rsid w:val="35BF1A1D"/>
    <w:rsid w:val="35E00D72"/>
    <w:rsid w:val="36965B9D"/>
    <w:rsid w:val="36C549FD"/>
    <w:rsid w:val="37174BD0"/>
    <w:rsid w:val="37A755DD"/>
    <w:rsid w:val="37F94FA0"/>
    <w:rsid w:val="380D3381"/>
    <w:rsid w:val="38115B1F"/>
    <w:rsid w:val="385E3AC3"/>
    <w:rsid w:val="387D6B9E"/>
    <w:rsid w:val="38B75FF0"/>
    <w:rsid w:val="38D45016"/>
    <w:rsid w:val="38D90432"/>
    <w:rsid w:val="3914510A"/>
    <w:rsid w:val="3926770B"/>
    <w:rsid w:val="395324DF"/>
    <w:rsid w:val="398D3668"/>
    <w:rsid w:val="39DA0497"/>
    <w:rsid w:val="3A1D0418"/>
    <w:rsid w:val="3A893816"/>
    <w:rsid w:val="3A893B6D"/>
    <w:rsid w:val="3AD1763A"/>
    <w:rsid w:val="3B6716E3"/>
    <w:rsid w:val="3B6C6B2D"/>
    <w:rsid w:val="3C0E4A47"/>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728AF"/>
    <w:rsid w:val="474B4782"/>
    <w:rsid w:val="47D90D14"/>
    <w:rsid w:val="48387FB0"/>
    <w:rsid w:val="483A6114"/>
    <w:rsid w:val="488727DB"/>
    <w:rsid w:val="48B82268"/>
    <w:rsid w:val="48C354B3"/>
    <w:rsid w:val="48D3145B"/>
    <w:rsid w:val="48EB22A6"/>
    <w:rsid w:val="493D58B5"/>
    <w:rsid w:val="494A7A04"/>
    <w:rsid w:val="4961798C"/>
    <w:rsid w:val="4A0A26D2"/>
    <w:rsid w:val="4A2019A5"/>
    <w:rsid w:val="4A241A0B"/>
    <w:rsid w:val="4A7B2875"/>
    <w:rsid w:val="4A934476"/>
    <w:rsid w:val="4AAA220A"/>
    <w:rsid w:val="4AE12E67"/>
    <w:rsid w:val="4B4C0111"/>
    <w:rsid w:val="4B8553A9"/>
    <w:rsid w:val="4BDB3730"/>
    <w:rsid w:val="4BF663E2"/>
    <w:rsid w:val="4C200F7A"/>
    <w:rsid w:val="4CA84413"/>
    <w:rsid w:val="4CEE3180"/>
    <w:rsid w:val="4D0F4AF6"/>
    <w:rsid w:val="4DF94F37"/>
    <w:rsid w:val="4E0A1DD5"/>
    <w:rsid w:val="4E3160E5"/>
    <w:rsid w:val="4E4D37AF"/>
    <w:rsid w:val="4E8C6496"/>
    <w:rsid w:val="4EFD18DE"/>
    <w:rsid w:val="4F144236"/>
    <w:rsid w:val="4F663C87"/>
    <w:rsid w:val="4F7E29A8"/>
    <w:rsid w:val="4F9E1FFC"/>
    <w:rsid w:val="502540F6"/>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006918"/>
    <w:rsid w:val="57540E7D"/>
    <w:rsid w:val="577B4878"/>
    <w:rsid w:val="57926973"/>
    <w:rsid w:val="58175352"/>
    <w:rsid w:val="581F2200"/>
    <w:rsid w:val="583059FA"/>
    <w:rsid w:val="584A0929"/>
    <w:rsid w:val="58943D63"/>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3FA0973"/>
    <w:rsid w:val="64322AF9"/>
    <w:rsid w:val="64D6010D"/>
    <w:rsid w:val="64D82665"/>
    <w:rsid w:val="64E47C96"/>
    <w:rsid w:val="651E5741"/>
    <w:rsid w:val="658A4877"/>
    <w:rsid w:val="65A00902"/>
    <w:rsid w:val="65AC6EDD"/>
    <w:rsid w:val="65D97752"/>
    <w:rsid w:val="66085536"/>
    <w:rsid w:val="66105BF7"/>
    <w:rsid w:val="66150023"/>
    <w:rsid w:val="6628010D"/>
    <w:rsid w:val="66701C26"/>
    <w:rsid w:val="669B4528"/>
    <w:rsid w:val="66CC12D7"/>
    <w:rsid w:val="66FA33E9"/>
    <w:rsid w:val="67134CEF"/>
    <w:rsid w:val="671F1ABD"/>
    <w:rsid w:val="67521A59"/>
    <w:rsid w:val="67C304AB"/>
    <w:rsid w:val="67C84D45"/>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311A7F"/>
    <w:rsid w:val="6F795A80"/>
    <w:rsid w:val="6F7C1D2E"/>
    <w:rsid w:val="6F8E0407"/>
    <w:rsid w:val="6FDD069F"/>
    <w:rsid w:val="702B4D16"/>
    <w:rsid w:val="70A10772"/>
    <w:rsid w:val="70AA6621"/>
    <w:rsid w:val="710D52AB"/>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C1107"/>
    <w:rsid w:val="77ED6F44"/>
    <w:rsid w:val="77F45548"/>
    <w:rsid w:val="782B058D"/>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1714F"/>
    <w:rsid w:val="7CD752DA"/>
    <w:rsid w:val="7CDE40AB"/>
    <w:rsid w:val="7CF057E2"/>
    <w:rsid w:val="7D1548B5"/>
    <w:rsid w:val="7D5A5F32"/>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rPr>
  </w:style>
  <w:style w:type="character" w:default="1" w:styleId="12">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link w:val="18"/>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themeColor="hyperlink"/>
      <w:u w:val="single"/>
      <w14:textFill>
        <w14:solidFill>
          <w14:schemeClr w14:val="hlink"/>
        </w14:solidFill>
      </w14:textFill>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character" w:customStyle="1" w:styleId="18">
    <w:name w:val="页脚 字符"/>
    <w:basedOn w:val="12"/>
    <w:link w:val="5"/>
    <w:qFormat/>
    <w:uiPriority w:val="99"/>
    <w:rPr>
      <w:kern w:val="2"/>
      <w:sz w:val="18"/>
      <w:szCs w:val="24"/>
    </w:rPr>
  </w:style>
  <w:style w:type="character" w:customStyle="1" w:styleId="19">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9.emf"/><Relationship Id="rId21" Type="http://schemas.openxmlformats.org/officeDocument/2006/relationships/oleObject" Target="embeddings/oleObject8.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emf"/><Relationship Id="rId17" Type="http://schemas.openxmlformats.org/officeDocument/2006/relationships/oleObject" Target="embeddings/oleObject6.bin"/><Relationship Id="rId16" Type="http://schemas.openxmlformats.org/officeDocument/2006/relationships/image" Target="media/image6.png"/><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52AE10-4F8A-48E5-AFD1-3E350B39E400}">
  <ds:schemaRefs/>
</ds:datastoreItem>
</file>

<file path=docProps/app.xml><?xml version="1.0" encoding="utf-8"?>
<Properties xmlns="http://schemas.openxmlformats.org/officeDocument/2006/extended-properties" xmlns:vt="http://schemas.openxmlformats.org/officeDocument/2006/docPropsVTypes">
  <Template>Normal</Template>
  <Pages>28</Pages>
  <Words>7275</Words>
  <Characters>8123</Characters>
  <Lines>75</Lines>
  <Paragraphs>21</Paragraphs>
  <TotalTime>4</TotalTime>
  <ScaleCrop>false</ScaleCrop>
  <LinksUpToDate>false</LinksUpToDate>
  <CharactersWithSpaces>8162</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2024-08-16T11:28:00Z</dcterms:created>
  <dc:creator>GXR</dc:creator>
  <cp:lastModifiedBy>Administrator</cp:lastModifiedBy>
  <dcterms:modified xsi:type="dcterms:W3CDTF">2024-12-19T11:01:11Z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E7CF93AECFC8439B9878D3B1FE3CE6B8_13</vt:lpwstr>
  </property>
</Properties>
</file>