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bookmarkStart w:id="48" w:name="_GoBack"/>
      <w:bookmarkEnd w:id="48"/>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eastAsia="zh-CN"/>
        </w:rPr>
      </w:pPr>
      <w:r>
        <w:rPr>
          <w:rFonts w:hint="eastAsia" w:ascii="方正小标宋_GBK" w:hAnsi="宋体" w:eastAsia="方正小标宋_GBK"/>
          <w:color w:val="auto"/>
          <w:sz w:val="44"/>
          <w:szCs w:val="44"/>
          <w:highlight w:val="none"/>
          <w:lang w:val="en-US" w:eastAsia="zh-CN"/>
        </w:rPr>
        <w:t>库尔勒市医疗保障局</w:t>
      </w:r>
      <w:r>
        <w:rPr>
          <w:rFonts w:hint="eastAsia" w:ascii="方正小标宋_GBK" w:hAnsi="宋体" w:eastAsia="方正小标宋_GBK"/>
          <w:color w:val="auto"/>
          <w:sz w:val="44"/>
          <w:szCs w:val="44"/>
          <w:highlight w:val="none"/>
          <w:lang w:eastAsia="zh-CN"/>
        </w:rPr>
        <w:t>2023年度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部门决算公开说明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hint="eastAsia" w:ascii="仿宋_GB2312" w:eastAsia="仿宋_GB2312"/>
          <w:color w:val="000000"/>
          <w:sz w:val="32"/>
          <w:szCs w:val="32"/>
        </w:rPr>
      </w:pPr>
      <w:bookmarkStart w:id="4" w:name="_Toc31238"/>
      <w:bookmarkStart w:id="5" w:name="_Toc2151"/>
      <w:r>
        <w:rPr>
          <w:rFonts w:hint="eastAsia" w:ascii="仿宋_GB2312" w:eastAsia="仿宋_GB2312"/>
          <w:color w:val="000000"/>
          <w:sz w:val="32"/>
          <w:szCs w:val="32"/>
        </w:rPr>
        <w:t>（一）贯彻实施国家、自治区、自治州医疗保险、生育保险、医疗救助等医疗保障制度，组织实施医疗保障制度相关法规、规章、政策、规划和标准；组织实施医疗保险、生育保险、人身意外伤害保险、大额医疗补助、公务员医疗补助、企事业单位补充医疗保险、离休人员和优抚对象医疗保障等政策、管理办法。</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（二）组织实施医疗保障基金监督管理办法，建立健全医疗保险基金安全防控机制，组织推进医疗保障基金支付方式改革工作，编制库尔勒市医疗保障基金预决算草案。</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（三）组织实施医疗保障筹资和待遇政策，完善动态调整和区域调剂平衡机制，统筹城乡医疗保障待遇标准，建立健全与筹资水平相适应的待遇调整机制。贯彻实施长期护理保险制度改革方案。</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四）监督实施自治区、自治州药品、医用耗材价格和医疗服务项目、医疗服务设施收费等政策。监督实施药品、医用耗材招标采购政策，实施医保支付医药服务价格合理确定和动态调整机制，实施市场主导的社会医药服务价格形成机制，实施医药服务价格信息监测和信息发布制度，指导实施药品、医用耗材招标采购平台建设。</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（五）组织实施药品、医用耗材、医疗服务项目、医疗服务设施等医保目录和支付标准，推进动态调整机制。</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（六）组织实施定点医药机构协议和支付管理办法，完善医疗保障信息评价体系和信息披露制度建设，监督管理纳入医保范围内的医疗服务行为和医疗费用，依法查处医疗保障、生育保险领域违法违规行为。</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七）负责医疗保障经办管理、公共服务体系和信息化建设。贯彻落实国家跨省异地就医管理和费用结算政策，组织实施疆内异地就医和费用结算政策。推进医疗保障关系转移接续制度建设。指导医疗保障经办机构开展业务工作。</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（八）完成市党委、市人民政府交办的其它任务。</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（九）职能转变。</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市医疗保障局应推进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（十）与市卫生健康委员会的有关职责分工。</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市卫生健康委员会、市医疗保障局等部门在医疗、医保、医药等方面加强制度、政策衔接，建立沟通协商机制，协同推进改革、提高医疗资源使用效率和医疗保障水平。</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库尔勒市医疗保障局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p>
    <w:p>
      <w:pPr>
        <w:spacing w:line="560" w:lineRule="exact"/>
        <w:ind w:firstLine="640" w:firstLineChars="200"/>
        <w:rPr>
          <w:rFonts w:hint="eastAsia" w:ascii="仿宋_GB2312" w:hAnsi="仿宋" w:eastAsia="仿宋_GB2312"/>
          <w:color w:val="0000FF"/>
          <w:sz w:val="32"/>
          <w:szCs w:val="32"/>
          <w:highlight w:val="none"/>
        </w:rPr>
      </w:pPr>
      <w:r>
        <w:rPr>
          <w:rFonts w:hint="eastAsia" w:ascii="仿宋_GB2312" w:hAnsi="黑体" w:eastAsia="仿宋_GB2312" w:cs="宋体"/>
          <w:bCs/>
          <w:kern w:val="0"/>
          <w:sz w:val="32"/>
          <w:szCs w:val="32"/>
          <w:highlight w:val="none"/>
        </w:rPr>
        <w:t>单位无下属预算单位，下设</w:t>
      </w:r>
      <w:r>
        <w:rPr>
          <w:rFonts w:hint="eastAsia" w:ascii="仿宋_GB2312" w:hAnsi="仿宋" w:eastAsia="仿宋_GB2312"/>
          <w:sz w:val="32"/>
          <w:szCs w:val="32"/>
          <w:highlight w:val="none"/>
        </w:rPr>
        <w:t>2</w:t>
      </w:r>
      <w:r>
        <w:rPr>
          <w:rFonts w:hint="eastAsia" w:ascii="仿宋_GB2312" w:hAnsi="黑体" w:eastAsia="仿宋_GB2312" w:cs="宋体"/>
          <w:bCs/>
          <w:kern w:val="0"/>
          <w:sz w:val="32"/>
          <w:szCs w:val="32"/>
          <w:highlight w:val="none"/>
        </w:rPr>
        <w:t>个处室，分别是：</w:t>
      </w:r>
      <w:r>
        <w:rPr>
          <w:rFonts w:hint="eastAsia" w:ascii="仿宋_GB2312" w:hAnsi="仿宋" w:eastAsia="仿宋_GB2312"/>
          <w:sz w:val="32"/>
          <w:szCs w:val="32"/>
          <w:highlight w:val="none"/>
        </w:rPr>
        <w:t>办公室、业务室。</w:t>
      </w:r>
    </w:p>
    <w:p>
      <w:pPr>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br w:type="page"/>
      </w:r>
    </w:p>
    <w:p>
      <w:pPr>
        <w:pStyle w:val="2"/>
        <w:rPr>
          <w:rFonts w:hint="eastAsia"/>
        </w:rPr>
      </w:pPr>
    </w:p>
    <w:p>
      <w:pPr>
        <w:jc w:val="center"/>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946.69万元，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946.69万元，使用非财政拨款结余0.00万元，年初结转和结余0.00万元。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946.69万元，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946.69万元，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110.8</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1</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仿宋_GB2312" w:eastAsia="仿宋_GB2312"/>
          <w:color w:val="auto"/>
          <w:spacing w:val="0"/>
          <w:sz w:val="32"/>
          <w:szCs w:val="32"/>
          <w:highlight w:val="none"/>
          <w:lang w:val="en-US" w:eastAsia="zh-CN"/>
        </w:rPr>
        <w:t>13</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val="en-US" w:eastAsia="zh-CN"/>
        </w:rPr>
        <w:t>26</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:因为每年社保、住房公积金的基数调整、增加退休2人机关</w:t>
      </w:r>
      <w:r>
        <w:rPr>
          <w:rFonts w:hint="eastAsia" w:ascii="仿宋_GB2312" w:eastAsia="仿宋_GB2312"/>
          <w:color w:val="auto"/>
          <w:spacing w:val="0"/>
          <w:sz w:val="32"/>
          <w:szCs w:val="32"/>
          <w:highlight w:val="none"/>
          <w:lang w:eastAsia="zh-CN"/>
        </w:rPr>
        <w:t>事业单位部门职业年金的缴费、增加补发</w:t>
      </w:r>
      <w:r>
        <w:rPr>
          <w:rFonts w:hint="eastAsia" w:ascii="仿宋_GB2312" w:eastAsia="仿宋_GB2312"/>
          <w:color w:val="auto"/>
          <w:spacing w:val="0"/>
          <w:sz w:val="32"/>
          <w:szCs w:val="32"/>
          <w:highlight w:val="none"/>
          <w:lang w:val="en-US" w:eastAsia="zh-CN"/>
        </w:rPr>
        <w:t>2022年和2023年基础绩效奖金、增加补发2020年下半年年终绩效奖、增加</w:t>
      </w:r>
      <w:r>
        <w:rPr>
          <w:rFonts w:hint="eastAsia" w:ascii="仿宋_GB2312" w:hAnsi="宋体" w:eastAsia="仿宋_GB2312" w:cs="仿宋_GB2312"/>
          <w:color w:val="auto"/>
          <w:kern w:val="0"/>
          <w:sz w:val="32"/>
          <w:szCs w:val="32"/>
        </w:rPr>
        <w:t>补</w:t>
      </w:r>
      <w:r>
        <w:rPr>
          <w:rFonts w:hint="eastAsia" w:ascii="仿宋_GB2312" w:hAnsi="宋体" w:eastAsia="仿宋_GB2312" w:cs="仿宋_GB2312"/>
          <w:kern w:val="0"/>
          <w:sz w:val="32"/>
          <w:szCs w:val="32"/>
        </w:rPr>
        <w:t>发</w:t>
      </w:r>
      <w:r>
        <w:rPr>
          <w:rFonts w:hint="eastAsia" w:ascii="仿宋_GB2312" w:hAnsi="宋体" w:eastAsia="仿宋_GB2312" w:cs="仿宋_GB2312"/>
          <w:kern w:val="0"/>
          <w:sz w:val="32"/>
          <w:szCs w:val="32"/>
          <w:lang w:val="en-US" w:eastAsia="zh-CN"/>
        </w:rPr>
        <w:t>2022年和2023年</w:t>
      </w:r>
      <w:r>
        <w:rPr>
          <w:rFonts w:hint="eastAsia" w:ascii="仿宋_GB2312" w:hAnsi="宋体" w:eastAsia="仿宋_GB2312" w:cs="仿宋_GB2312"/>
          <w:kern w:val="0"/>
          <w:sz w:val="32"/>
          <w:szCs w:val="32"/>
        </w:rPr>
        <w:t>艰苦边远地区津贴</w:t>
      </w:r>
      <w:r>
        <w:rPr>
          <w:rFonts w:hint="eastAsia" w:ascii="仿宋_GB2312" w:hAnsi="宋体" w:eastAsia="仿宋_GB2312" w:cs="仿宋_GB2312"/>
          <w:kern w:val="0"/>
          <w:sz w:val="32"/>
          <w:szCs w:val="32"/>
          <w:lang w:eastAsia="zh-CN"/>
        </w:rPr>
        <w:t>、增加职工单位部分工会经费、增加</w:t>
      </w:r>
      <w:r>
        <w:rPr>
          <w:rFonts w:hint="eastAsia" w:ascii="仿宋_GB2312" w:hAnsi="宋体" w:eastAsia="仿宋_GB2312" w:cs="仿宋_GB2312"/>
          <w:kern w:val="0"/>
          <w:sz w:val="32"/>
          <w:szCs w:val="32"/>
        </w:rPr>
        <w:t>2023年医疗服务与保障能力提升</w:t>
      </w:r>
      <w:r>
        <w:rPr>
          <w:rFonts w:hint="eastAsia" w:ascii="仿宋_GB2312" w:hAnsi="宋体" w:eastAsia="仿宋_GB2312" w:cs="仿宋_GB2312"/>
          <w:kern w:val="0"/>
          <w:sz w:val="32"/>
          <w:szCs w:val="32"/>
          <w:lang w:eastAsia="zh-CN"/>
        </w:rPr>
        <w:t>项目资金</w:t>
      </w:r>
      <w:r>
        <w:rPr>
          <w:rFonts w:hint="eastAsia" w:ascii="仿宋_GB2312" w:eastAsia="仿宋_GB2312"/>
          <w:color w:val="auto"/>
          <w:spacing w:val="0"/>
          <w:sz w:val="32"/>
          <w:szCs w:val="32"/>
          <w:highlight w:val="none"/>
          <w:lang w:eastAsia="zh-CN"/>
        </w:rPr>
        <w:t>。所以导致</w:t>
      </w: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val="zh-CN" w:eastAsia="zh-CN"/>
        </w:rPr>
        <w:t>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946.69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946.69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本年支出946.69万元，其中：基本支出906.42万元，占95.75%；项目支出40.27万元，占4.25%；上缴上级支出0.00万元，占0.00%；经营支出0.00万元，占0.00%；对附属单位补助支出0.00万元，占0.00%。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946.69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946.69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946.69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946.69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110.81</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仿宋_GB2312" w:eastAsia="仿宋_GB2312"/>
          <w:color w:val="auto"/>
          <w:spacing w:val="0"/>
          <w:sz w:val="32"/>
          <w:szCs w:val="32"/>
          <w:highlight w:val="none"/>
          <w:lang w:val="en-US" w:eastAsia="zh-CN"/>
        </w:rPr>
        <w:t>13.26</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主要原因是：因为</w:t>
      </w:r>
      <w:r>
        <w:rPr>
          <w:rFonts w:hint="eastAsia" w:ascii="仿宋_GB2312" w:eastAsia="仿宋_GB2312"/>
          <w:color w:val="auto"/>
          <w:spacing w:val="0"/>
          <w:sz w:val="32"/>
          <w:szCs w:val="32"/>
          <w:highlight w:val="none"/>
          <w:lang w:val="en-US" w:eastAsia="zh-CN"/>
        </w:rPr>
        <w:t>每年社保、住房公积金的基数调整、增加退休2人机关</w:t>
      </w:r>
      <w:r>
        <w:rPr>
          <w:rFonts w:hint="eastAsia" w:ascii="仿宋_GB2312" w:eastAsia="仿宋_GB2312"/>
          <w:color w:val="auto"/>
          <w:spacing w:val="0"/>
          <w:sz w:val="32"/>
          <w:szCs w:val="32"/>
          <w:highlight w:val="none"/>
          <w:lang w:eastAsia="zh-CN"/>
        </w:rPr>
        <w:t>事业单位部门职业年金的缴费、增加补发</w:t>
      </w:r>
      <w:r>
        <w:rPr>
          <w:rFonts w:hint="eastAsia" w:ascii="仿宋_GB2312" w:eastAsia="仿宋_GB2312"/>
          <w:color w:val="auto"/>
          <w:spacing w:val="0"/>
          <w:sz w:val="32"/>
          <w:szCs w:val="32"/>
          <w:highlight w:val="none"/>
          <w:lang w:val="en-US" w:eastAsia="zh-CN"/>
        </w:rPr>
        <w:t>2022年和2023年基础绩效奖金、增加补发2020年下半年年终绩效奖、增加</w:t>
      </w:r>
      <w:r>
        <w:rPr>
          <w:rFonts w:hint="eastAsia" w:ascii="仿宋_GB2312" w:hAnsi="宋体" w:eastAsia="仿宋_GB2312" w:cs="仿宋_GB2312"/>
          <w:color w:val="auto"/>
          <w:kern w:val="0"/>
          <w:sz w:val="32"/>
          <w:szCs w:val="32"/>
        </w:rPr>
        <w:t>补</w:t>
      </w:r>
      <w:r>
        <w:rPr>
          <w:rFonts w:hint="eastAsia" w:ascii="仿宋_GB2312" w:hAnsi="宋体" w:eastAsia="仿宋_GB2312" w:cs="仿宋_GB2312"/>
          <w:kern w:val="0"/>
          <w:sz w:val="32"/>
          <w:szCs w:val="32"/>
        </w:rPr>
        <w:t>发</w:t>
      </w:r>
      <w:r>
        <w:rPr>
          <w:rFonts w:hint="eastAsia" w:ascii="仿宋_GB2312" w:hAnsi="宋体" w:eastAsia="仿宋_GB2312" w:cs="仿宋_GB2312"/>
          <w:kern w:val="0"/>
          <w:sz w:val="32"/>
          <w:szCs w:val="32"/>
          <w:lang w:val="en-US" w:eastAsia="zh-CN"/>
        </w:rPr>
        <w:t>2022年和2023年</w:t>
      </w:r>
      <w:r>
        <w:rPr>
          <w:rFonts w:hint="eastAsia" w:ascii="仿宋_GB2312" w:hAnsi="宋体" w:eastAsia="仿宋_GB2312" w:cs="仿宋_GB2312"/>
          <w:kern w:val="0"/>
          <w:sz w:val="32"/>
          <w:szCs w:val="32"/>
        </w:rPr>
        <w:t>艰苦边远地区津贴</w:t>
      </w:r>
      <w:r>
        <w:rPr>
          <w:rFonts w:hint="eastAsia" w:ascii="仿宋_GB2312" w:hAnsi="宋体" w:eastAsia="仿宋_GB2312" w:cs="仿宋_GB2312"/>
          <w:kern w:val="0"/>
          <w:sz w:val="32"/>
          <w:szCs w:val="32"/>
          <w:lang w:eastAsia="zh-CN"/>
        </w:rPr>
        <w:t>、增加</w:t>
      </w:r>
      <w:r>
        <w:rPr>
          <w:rFonts w:hint="eastAsia" w:ascii="仿宋_GB2312" w:hAnsi="宋体" w:eastAsia="仿宋_GB2312" w:cs="仿宋_GB2312"/>
          <w:kern w:val="0"/>
          <w:sz w:val="32"/>
          <w:szCs w:val="32"/>
        </w:rPr>
        <w:t>2023年医疗服务与保障能力提升</w:t>
      </w:r>
      <w:r>
        <w:rPr>
          <w:rFonts w:hint="eastAsia" w:ascii="仿宋_GB2312" w:hAnsi="宋体" w:eastAsia="仿宋_GB2312" w:cs="仿宋_GB2312"/>
          <w:kern w:val="0"/>
          <w:sz w:val="32"/>
          <w:szCs w:val="32"/>
          <w:lang w:eastAsia="zh-CN"/>
        </w:rPr>
        <w:t>项目资金</w:t>
      </w:r>
      <w:r>
        <w:rPr>
          <w:rFonts w:hint="eastAsia" w:ascii="仿宋_GB2312" w:eastAsia="仿宋_GB2312"/>
          <w:color w:val="auto"/>
          <w:spacing w:val="0"/>
          <w:sz w:val="32"/>
          <w:szCs w:val="32"/>
          <w:highlight w:val="none"/>
          <w:lang w:eastAsia="zh-CN"/>
        </w:rPr>
        <w:t>。所以导致</w:t>
      </w: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7,069.77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946.69</w:t>
      </w:r>
      <w:r>
        <w:rPr>
          <w:rFonts w:hint="eastAsia" w:ascii="仿宋_GB2312" w:eastAsia="仿宋_GB2312"/>
          <w:color w:val="auto"/>
          <w:spacing w:val="0"/>
          <w:sz w:val="32"/>
          <w:szCs w:val="32"/>
          <w:highlight w:val="none"/>
          <w:lang w:eastAsia="zh-CN"/>
        </w:rPr>
        <w:t>万元，预决算差异率-86.61%，主要原因是：因为</w:t>
      </w:r>
      <w:r>
        <w:rPr>
          <w:rFonts w:hint="eastAsia" w:ascii="仿宋_GB2312" w:eastAsia="仿宋_GB2312"/>
          <w:color w:val="auto"/>
          <w:sz w:val="32"/>
          <w:szCs w:val="32"/>
          <w:highlight w:val="none"/>
        </w:rPr>
        <w:t>根据财政决算口径要求，由财政代编财政对城乡居民基本医疗保险基金补助</w:t>
      </w:r>
      <w:r>
        <w:rPr>
          <w:rFonts w:hint="eastAsia" w:ascii="仿宋_GB2312" w:eastAsia="仿宋_GB2312"/>
          <w:color w:val="auto"/>
          <w:sz w:val="32"/>
          <w:szCs w:val="32"/>
          <w:highlight w:val="none"/>
          <w:lang w:eastAsia="zh-CN"/>
        </w:rPr>
        <w:t>市级配套资金。所以导致与年初预算相</w:t>
      </w:r>
      <w:r>
        <w:rPr>
          <w:rFonts w:hint="eastAsia" w:ascii="仿宋_GB2312" w:eastAsia="仿宋_GB2312"/>
          <w:color w:val="auto"/>
          <w:sz w:val="32"/>
          <w:szCs w:val="32"/>
          <w:lang w:eastAsia="zh-CN"/>
        </w:rPr>
        <w:t>比决算数减少了。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2023年度一般公共预算财政拨款支出946.69万元，占本年支出合计的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110.88</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仿宋_GB2312" w:eastAsia="仿宋_GB2312"/>
          <w:color w:val="auto"/>
          <w:spacing w:val="0"/>
          <w:sz w:val="32"/>
          <w:szCs w:val="32"/>
          <w:highlight w:val="none"/>
          <w:lang w:val="en-US" w:eastAsia="zh-CN"/>
        </w:rPr>
        <w:t>13.27</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增加社保、住房公积金的每年基数调整、增加退休2人机关</w:t>
      </w:r>
      <w:r>
        <w:rPr>
          <w:rFonts w:hint="eastAsia" w:ascii="仿宋_GB2312" w:eastAsia="仿宋_GB2312"/>
          <w:color w:val="auto"/>
          <w:spacing w:val="0"/>
          <w:sz w:val="32"/>
          <w:szCs w:val="32"/>
          <w:highlight w:val="none"/>
          <w:lang w:eastAsia="zh-CN"/>
        </w:rPr>
        <w:t>事业单位部门职业年金的缴费、增加补发</w:t>
      </w:r>
      <w:r>
        <w:rPr>
          <w:rFonts w:hint="eastAsia" w:ascii="仿宋_GB2312" w:eastAsia="仿宋_GB2312"/>
          <w:color w:val="auto"/>
          <w:spacing w:val="0"/>
          <w:sz w:val="32"/>
          <w:szCs w:val="32"/>
          <w:highlight w:val="none"/>
          <w:lang w:val="en-US" w:eastAsia="zh-CN"/>
        </w:rPr>
        <w:t>2022年和2023年基础绩效奖金、增加补发2020年下半年年终绩效奖、增加</w:t>
      </w:r>
      <w:r>
        <w:rPr>
          <w:rFonts w:hint="eastAsia" w:ascii="仿宋_GB2312" w:hAnsi="宋体" w:eastAsia="仿宋_GB2312" w:cs="仿宋_GB2312"/>
          <w:color w:val="auto"/>
          <w:kern w:val="0"/>
          <w:sz w:val="32"/>
          <w:szCs w:val="32"/>
        </w:rPr>
        <w:t>补</w:t>
      </w:r>
      <w:r>
        <w:rPr>
          <w:rFonts w:hint="eastAsia" w:ascii="仿宋_GB2312" w:hAnsi="宋体" w:eastAsia="仿宋_GB2312" w:cs="仿宋_GB2312"/>
          <w:kern w:val="0"/>
          <w:sz w:val="32"/>
          <w:szCs w:val="32"/>
        </w:rPr>
        <w:t>发</w:t>
      </w:r>
      <w:r>
        <w:rPr>
          <w:rFonts w:hint="eastAsia" w:ascii="仿宋_GB2312" w:hAnsi="宋体" w:eastAsia="仿宋_GB2312" w:cs="仿宋_GB2312"/>
          <w:kern w:val="0"/>
          <w:sz w:val="32"/>
          <w:szCs w:val="32"/>
          <w:lang w:val="en-US" w:eastAsia="zh-CN"/>
        </w:rPr>
        <w:t>2022年和2023年</w:t>
      </w:r>
      <w:r>
        <w:rPr>
          <w:rFonts w:hint="eastAsia" w:ascii="仿宋_GB2312" w:hAnsi="宋体" w:eastAsia="仿宋_GB2312" w:cs="仿宋_GB2312"/>
          <w:kern w:val="0"/>
          <w:sz w:val="32"/>
          <w:szCs w:val="32"/>
        </w:rPr>
        <w:t>艰苦边远地区津贴</w:t>
      </w:r>
      <w:r>
        <w:rPr>
          <w:rFonts w:hint="eastAsia" w:ascii="仿宋_GB2312" w:hAnsi="宋体" w:eastAsia="仿宋_GB2312" w:cs="仿宋_GB2312"/>
          <w:kern w:val="0"/>
          <w:sz w:val="32"/>
          <w:szCs w:val="32"/>
          <w:lang w:eastAsia="zh-CN"/>
        </w:rPr>
        <w:t>、增加</w:t>
      </w:r>
      <w:r>
        <w:rPr>
          <w:rFonts w:hint="eastAsia" w:ascii="仿宋_GB2312" w:hAnsi="宋体" w:eastAsia="仿宋_GB2312" w:cs="仿宋_GB2312"/>
          <w:kern w:val="0"/>
          <w:sz w:val="32"/>
          <w:szCs w:val="32"/>
        </w:rPr>
        <w:t>2023年医疗服务与保障能力提升</w:t>
      </w:r>
      <w:r>
        <w:rPr>
          <w:rFonts w:hint="eastAsia" w:ascii="仿宋_GB2312" w:hAnsi="宋体" w:eastAsia="仿宋_GB2312" w:cs="仿宋_GB2312"/>
          <w:kern w:val="0"/>
          <w:sz w:val="32"/>
          <w:szCs w:val="32"/>
          <w:lang w:eastAsia="zh-CN"/>
        </w:rPr>
        <w:t>项目资金</w:t>
      </w:r>
      <w:r>
        <w:rPr>
          <w:rFonts w:hint="eastAsia" w:ascii="仿宋_GB2312" w:eastAsia="仿宋_GB2312"/>
          <w:color w:val="auto"/>
          <w:spacing w:val="0"/>
          <w:sz w:val="32"/>
          <w:szCs w:val="32"/>
          <w:highlight w:val="none"/>
          <w:lang w:eastAsia="zh-CN"/>
        </w:rPr>
        <w:t>。所以导致</w:t>
      </w: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7,069.77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946.69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-86.61%</w:t>
      </w:r>
      <w:r>
        <w:rPr>
          <w:rFonts w:hint="eastAsia" w:ascii="仿宋_GB2312" w:eastAsia="仿宋_GB2312"/>
          <w:color w:val="auto"/>
          <w:spacing w:val="0"/>
          <w:sz w:val="32"/>
          <w:szCs w:val="32"/>
          <w:highlight w:val="none"/>
          <w:lang w:eastAsia="zh-CN"/>
        </w:rPr>
        <w:t>，主要原因是：因为</w:t>
      </w:r>
      <w:r>
        <w:rPr>
          <w:rFonts w:hint="eastAsia" w:ascii="仿宋_GB2312" w:eastAsia="仿宋_GB2312"/>
          <w:color w:val="auto"/>
          <w:sz w:val="32"/>
          <w:szCs w:val="32"/>
          <w:highlight w:val="none"/>
        </w:rPr>
        <w:t>根据财政决算口径要求，由财政代编财政对城乡居民基本医疗保险基金补助</w:t>
      </w:r>
      <w:r>
        <w:rPr>
          <w:rFonts w:hint="eastAsia" w:ascii="仿宋_GB2312" w:eastAsia="仿宋_GB2312"/>
          <w:color w:val="auto"/>
          <w:sz w:val="32"/>
          <w:szCs w:val="32"/>
          <w:highlight w:val="none"/>
          <w:lang w:eastAsia="zh-CN"/>
        </w:rPr>
        <w:t>市级配套资金，所以导致</w:t>
      </w:r>
      <w:r>
        <w:rPr>
          <w:rFonts w:hint="eastAsia" w:ascii="仿宋_GB2312" w:eastAsia="仿宋_GB2312"/>
          <w:color w:val="auto"/>
          <w:spacing w:val="0"/>
          <w:sz w:val="32"/>
          <w:szCs w:val="32"/>
          <w:highlight w:val="none"/>
          <w:lang w:eastAsia="zh-CN"/>
        </w:rPr>
        <w:t>与年初预算相比决算数减少了。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1.26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0.13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96.28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10.17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785.56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82.98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63.59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6.72</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1.教育支出（类）进修及培训（款）培训支出（项）:支出决算数为1.26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减少2.02万元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下降61.59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减少外出培训出差人员。所以导致</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2.社会保障和就业支出（类）行政事业单位养老支出（款）行政单位离退休（项）:支出决算数为3.42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2.32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增长210.91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val="en-US" w:eastAsia="zh-CN"/>
        </w:rPr>
        <w:t>增加退休2人工资及基础绩效奖，所以导致</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3.社会保障和就业支出（类）行政事业单位养老支出（款）机关事业单位基本养老保险缴费支出（项）:支出决算数为78.5</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加1.7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增长2.21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因为</w:t>
      </w:r>
      <w:r>
        <w:rPr>
          <w:rFonts w:hint="eastAsia" w:ascii="仿宋_GB2312" w:eastAsia="仿宋_GB2312"/>
          <w:color w:val="auto"/>
          <w:spacing w:val="0"/>
          <w:sz w:val="32"/>
          <w:szCs w:val="32"/>
          <w:highlight w:val="none"/>
          <w:lang w:val="en-US" w:eastAsia="zh-CN"/>
        </w:rPr>
        <w:t>机关事业</w:t>
      </w:r>
      <w:r>
        <w:rPr>
          <w:rFonts w:hint="eastAsia" w:ascii="Times New Roman" w:hAnsi="Times New Roman" w:eastAsia="仿宋_GB2312" w:cs="Times New Roman"/>
          <w:color w:val="auto"/>
          <w:kern w:val="2"/>
          <w:sz w:val="32"/>
          <w:szCs w:val="32"/>
          <w:highlight w:val="none"/>
          <w:lang w:val="en-US" w:eastAsia="zh-CN" w:bidi="ar-SA"/>
        </w:rPr>
        <w:t>单位基本养老保险</w:t>
      </w:r>
      <w:r>
        <w:rPr>
          <w:rFonts w:hint="eastAsia" w:ascii="仿宋_GB2312" w:eastAsia="仿宋_GB2312"/>
          <w:color w:val="auto"/>
          <w:spacing w:val="0"/>
          <w:sz w:val="32"/>
          <w:szCs w:val="32"/>
          <w:highlight w:val="none"/>
          <w:lang w:val="en-US" w:eastAsia="zh-CN"/>
        </w:rPr>
        <w:t>的每年基数调整，所以导致</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社会保障和就业支出（类）行政事业单位养老支出（款）机关事业单位职业年金缴费支出（项）:支出决算数为14.29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因为本年度</w:t>
      </w:r>
      <w:r>
        <w:rPr>
          <w:rFonts w:hint="eastAsia" w:ascii="仿宋_GB2312" w:eastAsia="仿宋_GB2312"/>
          <w:color w:val="auto"/>
          <w:spacing w:val="0"/>
          <w:sz w:val="32"/>
          <w:szCs w:val="32"/>
          <w:highlight w:val="none"/>
          <w:lang w:val="en-US" w:eastAsia="zh-CN"/>
        </w:rPr>
        <w:t>增加退休2人，实缴机关</w:t>
      </w:r>
      <w:r>
        <w:rPr>
          <w:rFonts w:hint="eastAsia" w:ascii="仿宋_GB2312" w:eastAsia="仿宋_GB2312"/>
          <w:color w:val="auto"/>
          <w:spacing w:val="0"/>
          <w:sz w:val="32"/>
          <w:szCs w:val="32"/>
          <w:highlight w:val="none"/>
          <w:lang w:eastAsia="zh-CN"/>
        </w:rPr>
        <w:t>事业单位部门职业年金的缴费</w:t>
      </w:r>
      <w:r>
        <w:rPr>
          <w:rFonts w:hint="eastAsia" w:eastAsia="仿宋_GB2312" w:cs="Times New Roman"/>
          <w:color w:val="auto"/>
          <w:kern w:val="2"/>
          <w:sz w:val="32"/>
          <w:szCs w:val="32"/>
          <w:highlight w:val="none"/>
          <w:lang w:val="zh-CN" w:eastAsia="zh-CN" w:bidi="ar-SA"/>
        </w:rPr>
        <w:t>。所以导致</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5.卫生健康支出（类）行政事业单位医疗（款）行政单位医疗（项）:支出决算数为36.4</w:t>
      </w:r>
      <w:r>
        <w:rPr>
          <w:rFonts w:hint="eastAsia" w:ascii="Times New Roman" w:hAnsi="Times New Roman" w:eastAsia="仿宋_GB2312" w:cs="Times New Roman"/>
          <w:color w:val="1F497D" w:themeColor="text2"/>
          <w:kern w:val="2"/>
          <w:sz w:val="32"/>
          <w:szCs w:val="32"/>
          <w:highlight w:val="none"/>
          <w:lang w:val="en-US" w:eastAsia="zh-CN" w:bidi="ar-SA"/>
          <w14:textFill>
            <w14:solidFill>
              <w14:schemeClr w14:val="tx2"/>
            </w14:solidFill>
          </w14:textFill>
        </w:rPr>
        <w:t>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0.65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增长1.82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因为</w:t>
      </w:r>
      <w:r>
        <w:rPr>
          <w:rFonts w:hint="eastAsia" w:ascii="仿宋_GB2312" w:eastAsia="仿宋_GB2312"/>
          <w:color w:val="auto"/>
          <w:spacing w:val="0"/>
          <w:sz w:val="32"/>
          <w:szCs w:val="32"/>
          <w:highlight w:val="none"/>
          <w:lang w:val="en-US" w:eastAsia="zh-CN"/>
        </w:rPr>
        <w:t>每年医疗保险基数调整,所以</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pPr>
      <w:r>
        <w:rPr>
          <w:rFonts w:hint="eastAsia" w:ascii="Times New Roman" w:hAnsi="Times New Roman" w:eastAsia="仿宋_GB2312" w:cs="Times New Roman"/>
          <w:color w:val="auto"/>
          <w:kern w:val="2"/>
          <w:sz w:val="32"/>
          <w:szCs w:val="32"/>
          <w:highlight w:val="none"/>
          <w:lang w:val="en-US" w:eastAsia="zh-CN" w:bidi="ar-SA"/>
        </w:rPr>
        <w:t>6.卫生健康支出（类）行政事业单位医疗（款）公务员医疗补助（项）:支出决算数为4.76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减少0.36万元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下降7.03</w:t>
      </w:r>
      <w:r>
        <w:rPr>
          <w:rFonts w:hint="eastAsia" w:ascii="Times New Roman" w:hAnsi="Times New Roman" w:eastAsia="仿宋_GB2312" w:cs="Times New Roman"/>
          <w:color w:val="auto"/>
          <w:kern w:val="2"/>
          <w:sz w:val="32"/>
          <w:szCs w:val="32"/>
          <w:highlight w:val="none"/>
          <w:lang w:val="en-US" w:eastAsia="zh-CN" w:bidi="ar-SA"/>
        </w:rPr>
        <w:t>%，主</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减少了2人参公人员，根据关于2名同志工资调整的函，减少了2人参公人员，增加2人事业人员。所以导致</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比上年决算</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减少</w:t>
      </w:r>
      <w:r>
        <w:rPr>
          <w:rFonts w:hint="eastAsia" w:eastAsia="仿宋_GB2312" w:cs="Times New Roman"/>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7.卫生健康支出（类）医疗保障管理事务（款）行政运行（项）:支出决算数为704.1</w:t>
      </w:r>
      <w:r>
        <w:rPr>
          <w:rFonts w:hint="eastAsia" w:ascii="Times New Roman" w:hAnsi="Times New Roman" w:eastAsia="仿宋_GB2312" w:cs="Times New Roman"/>
          <w:color w:val="1F497D" w:themeColor="text2"/>
          <w:kern w:val="2"/>
          <w:sz w:val="32"/>
          <w:szCs w:val="32"/>
          <w:highlight w:val="none"/>
          <w:lang w:val="en-US" w:eastAsia="zh-CN" w:bidi="ar-SA"/>
          <w14:textFill>
            <w14:solidFill>
              <w14:schemeClr w14:val="tx2"/>
            </w14:solidFill>
          </w14:textFill>
        </w:rPr>
        <w:t>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75.62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增长12.03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val="en-US" w:eastAsia="zh-CN"/>
        </w:rPr>
        <w:t>增加社保、住房公积金的每年基数调整、增加退休2人</w:t>
      </w:r>
      <w:r>
        <w:rPr>
          <w:rFonts w:hint="eastAsia" w:ascii="仿宋_GB2312" w:eastAsia="仿宋_GB2312"/>
          <w:color w:val="auto"/>
          <w:spacing w:val="0"/>
          <w:sz w:val="32"/>
          <w:szCs w:val="32"/>
          <w:highlight w:val="none"/>
          <w:lang w:eastAsia="zh-CN"/>
        </w:rPr>
        <w:t>单位部门职业年金的缴费、增加补发</w:t>
      </w:r>
      <w:r>
        <w:rPr>
          <w:rFonts w:hint="eastAsia" w:ascii="仿宋_GB2312" w:eastAsia="仿宋_GB2312"/>
          <w:color w:val="auto"/>
          <w:spacing w:val="0"/>
          <w:sz w:val="32"/>
          <w:szCs w:val="32"/>
          <w:highlight w:val="none"/>
          <w:lang w:val="en-US" w:eastAsia="zh-CN"/>
        </w:rPr>
        <w:t>2022年和2023年基础绩效奖金、增加补发2020年下半年年终绩效奖、增加</w:t>
      </w:r>
      <w:r>
        <w:rPr>
          <w:rFonts w:hint="eastAsia" w:ascii="仿宋_GB2312" w:hAnsi="宋体" w:eastAsia="仿宋_GB2312" w:cs="仿宋_GB2312"/>
          <w:color w:val="auto"/>
          <w:kern w:val="0"/>
          <w:sz w:val="32"/>
          <w:szCs w:val="32"/>
        </w:rPr>
        <w:t>补</w:t>
      </w:r>
      <w:r>
        <w:rPr>
          <w:rFonts w:hint="eastAsia" w:ascii="仿宋_GB2312" w:hAnsi="宋体" w:eastAsia="仿宋_GB2312" w:cs="仿宋_GB2312"/>
          <w:kern w:val="0"/>
          <w:sz w:val="32"/>
          <w:szCs w:val="32"/>
        </w:rPr>
        <w:t>发</w:t>
      </w:r>
      <w:r>
        <w:rPr>
          <w:rFonts w:hint="eastAsia" w:ascii="仿宋_GB2312" w:hAnsi="宋体" w:eastAsia="仿宋_GB2312" w:cs="仿宋_GB2312"/>
          <w:kern w:val="0"/>
          <w:sz w:val="32"/>
          <w:szCs w:val="32"/>
          <w:lang w:val="en-US" w:eastAsia="zh-CN"/>
        </w:rPr>
        <w:t>2022年和2023年</w:t>
      </w:r>
      <w:r>
        <w:rPr>
          <w:rFonts w:hint="eastAsia" w:ascii="仿宋_GB2312" w:hAnsi="宋体" w:eastAsia="仿宋_GB2312" w:cs="仿宋_GB2312"/>
          <w:kern w:val="0"/>
          <w:sz w:val="32"/>
          <w:szCs w:val="32"/>
        </w:rPr>
        <w:t>艰苦边远地区津贴</w:t>
      </w:r>
      <w:r>
        <w:rPr>
          <w:rFonts w:hint="eastAsia" w:ascii="仿宋_GB2312" w:hAnsi="宋体" w:eastAsia="仿宋_GB2312" w:cs="仿宋_GB2312"/>
          <w:kern w:val="0"/>
          <w:sz w:val="32"/>
          <w:szCs w:val="32"/>
          <w:lang w:eastAsia="zh-CN"/>
        </w:rPr>
        <w:t>。所以导致</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卫生健康</w:t>
      </w:r>
      <w:r>
        <w:rPr>
          <w:rFonts w:hint="eastAsia" w:ascii="Times New Roman" w:hAnsi="Times New Roman" w:eastAsia="仿宋_GB2312" w:cs="Times New Roman"/>
          <w:color w:val="auto"/>
          <w:kern w:val="2"/>
          <w:sz w:val="32"/>
          <w:szCs w:val="32"/>
          <w:highlight w:val="none"/>
          <w:lang w:val="en-US" w:eastAsia="zh-CN" w:bidi="ar-SA"/>
        </w:rPr>
        <w:t>支出（类）医疗保障管理事务（款）信息化建设（项）:支出决算数为8.00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关于拨付2022年中央医疗服务与保障能力提升补助资金（医</w:t>
      </w:r>
      <w:r>
        <w:rPr>
          <w:rFonts w:hint="eastAsia" w:ascii="Times New Roman" w:hAnsi="Times New Roman" w:eastAsia="仿宋_GB2312" w:cs="Times New Roman"/>
          <w:color w:val="auto"/>
          <w:kern w:val="2"/>
          <w:sz w:val="32"/>
          <w:szCs w:val="32"/>
          <w:highlight w:val="none"/>
          <w:lang w:val="en-US" w:eastAsia="zh-CN" w:bidi="ar-SA"/>
        </w:rPr>
        <w:t>疗保障服务能力建设部分）</w:t>
      </w:r>
      <w:r>
        <w:rPr>
          <w:rFonts w:hint="eastAsia" w:eastAsia="仿宋_GB2312" w:cs="Times New Roman"/>
          <w:color w:val="auto"/>
          <w:kern w:val="2"/>
          <w:sz w:val="32"/>
          <w:szCs w:val="32"/>
          <w:highlight w:val="none"/>
          <w:lang w:val="en-US" w:eastAsia="zh-CN" w:bidi="ar-SA"/>
        </w:rPr>
        <w:t>,所以导致比</w:t>
      </w:r>
      <w:r>
        <w:rPr>
          <w:rFonts w:hint="eastAsia" w:ascii="Times New Roman" w:hAnsi="Times New Roman" w:eastAsia="仿宋_GB2312" w:cs="Times New Roman"/>
          <w:color w:val="auto"/>
          <w:kern w:val="2"/>
          <w:sz w:val="32"/>
          <w:szCs w:val="32"/>
          <w:highlight w:val="none"/>
          <w:lang w:val="en-US" w:eastAsia="zh-CN" w:bidi="ar-SA"/>
        </w:rPr>
        <w:t>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.卫生健康支出（类）医疗保障管理事务（款）医疗保障政策管理（项）:支出决算数为15.82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增加了提前下达2023年医疗服务与保障能力提升[医疗保障服务能力建设部分]中央财政补助资金预算的资金。所以导致</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卫生健康支出（类）医疗保障管理事务（款）医疗保障经办事务（项）:支出决算数为2.14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减少7.46万元，下降77.71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减少了节约办公业务费用。所以导致</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比上年决算</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11.</w:t>
      </w:r>
      <w:r>
        <w:rPr>
          <w:rFonts w:hint="eastAsia" w:ascii="Times New Roman" w:hAnsi="Times New Roman" w:eastAsia="仿宋_GB2312" w:cs="Times New Roman"/>
          <w:color w:val="auto"/>
          <w:kern w:val="2"/>
          <w:sz w:val="32"/>
          <w:szCs w:val="32"/>
          <w:highlight w:val="none"/>
          <w:lang w:val="en-US" w:eastAsia="zh-CN" w:bidi="ar-SA"/>
        </w:rPr>
        <w:t>卫生健康支出（类）医疗保障管理事务（款）其他医疗保障管理事务支出（项）:支出决算数为14.30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增加9.55万元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增长201.05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减少根</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据2022年决算要求科目调整至</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卫生健康支出（类）医疗保障管理事务（款）信息化建设（项）</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和</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卫生健康支出（类）医疗保障管理事务（款）医疗保障经办事务（项）</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。所以导</w:t>
      </w:r>
      <w:r>
        <w:rPr>
          <w:rFonts w:hint="eastAsia" w:eastAsia="仿宋_GB2312" w:cs="Times New Roman"/>
          <w:color w:val="auto"/>
          <w:kern w:val="2"/>
          <w:sz w:val="32"/>
          <w:szCs w:val="32"/>
          <w:highlight w:val="none"/>
          <w:lang w:val="en-US" w:eastAsia="zh-CN" w:bidi="ar-SA"/>
        </w:rPr>
        <w:t>致</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住房保障支出（类）住房改革支出（款）住房公积金（项）:支出决算数为63.59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增加0.77万元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增长1.23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增加</w:t>
      </w:r>
      <w:r>
        <w:rPr>
          <w:rFonts w:hint="eastAsia" w:ascii="仿宋_GB2312" w:eastAsia="仿宋_GB2312"/>
          <w:color w:val="auto"/>
          <w:spacing w:val="0"/>
          <w:sz w:val="32"/>
          <w:szCs w:val="32"/>
          <w:highlight w:val="none"/>
          <w:lang w:val="en-US" w:eastAsia="zh-CN"/>
        </w:rPr>
        <w:t>住房公积金的每年基数调整</w:t>
      </w:r>
      <w:r>
        <w:rPr>
          <w:rFonts w:hint="eastAsia" w:eastAsia="仿宋_GB2312" w:cs="Times New Roman"/>
          <w:color w:val="auto"/>
          <w:kern w:val="2"/>
          <w:sz w:val="32"/>
          <w:szCs w:val="32"/>
          <w:highlight w:val="none"/>
          <w:lang w:val="en-US" w:eastAsia="zh-CN" w:bidi="ar-SA"/>
        </w:rPr>
        <w:t>。所以导致</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906.42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873.28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生活补助、医疗费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33.14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办公费、邮电费、物业管理费、差旅费、培训费、工会经费、福利费、公务用车运行维护费</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“三公”经费支出3.67万元，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eastAsia" w:ascii="仿宋_GB2312" w:eastAsia="仿宋_GB2312"/>
          <w:color w:val="auto"/>
          <w:sz w:val="32"/>
          <w:szCs w:val="32"/>
          <w:highlight w:val="none"/>
          <w:lang w:val="en-US" w:eastAsia="zh-CN"/>
        </w:rPr>
        <w:t>0.78</w:t>
      </w:r>
      <w:r>
        <w:rPr>
          <w:rFonts w:hint="eastAsia" w:ascii="仿宋_GB2312" w:eastAsia="仿宋_GB2312"/>
          <w:color w:val="auto"/>
          <w:sz w:val="32"/>
          <w:szCs w:val="32"/>
          <w:highlight w:val="none"/>
          <w:lang w:val="zh-CN" w:eastAsia="zh-CN"/>
        </w:rPr>
        <w:t>万元，增长</w:t>
      </w:r>
      <w:r>
        <w:rPr>
          <w:rFonts w:hint="eastAsia" w:ascii="仿宋_GB2312" w:eastAsia="仿宋_GB2312"/>
          <w:color w:val="auto"/>
          <w:sz w:val="32"/>
          <w:szCs w:val="32"/>
          <w:highlight w:val="none"/>
          <w:lang w:val="en-US" w:eastAsia="zh-CN"/>
        </w:rPr>
        <w:t>26.99</w:t>
      </w:r>
      <w:r>
        <w:rPr>
          <w:rFonts w:hint="eastAsia" w:ascii="仿宋_GB2312" w:eastAsia="仿宋_GB2312"/>
          <w:color w:val="auto"/>
          <w:sz w:val="32"/>
          <w:szCs w:val="32"/>
          <w:highlight w:val="none"/>
          <w:lang w:val="zh-CN" w:eastAsia="zh-CN"/>
        </w:rPr>
        <w:t>%，</w:t>
      </w:r>
      <w:r>
        <w:rPr>
          <w:rFonts w:hint="eastAsia" w:ascii="仿宋_GB2312" w:eastAsia="仿宋_GB2312"/>
          <w:color w:val="000000" w:themeColor="text1"/>
          <w:sz w:val="32"/>
          <w:szCs w:val="32"/>
          <w:highlight w:val="none"/>
          <w:lang w:val="zh-CN" w:eastAsia="zh-CN"/>
          <w14:textFill>
            <w14:solidFill>
              <w14:schemeClr w14:val="tx1"/>
            </w14:solidFill>
          </w14:textFill>
        </w:rPr>
        <w:t>主要原因是：因为</w:t>
      </w:r>
      <w:r>
        <w:rPr>
          <w:rFonts w:hint="eastAsia" w:ascii="仿宋_GB2312" w:eastAsia="仿宋_GB2312"/>
          <w:color w:val="auto"/>
          <w:sz w:val="32"/>
          <w:szCs w:val="32"/>
          <w:highlight w:val="none"/>
          <w:lang w:val="zh-CN" w:eastAsia="zh-CN"/>
        </w:rPr>
        <w:t>医疗业务基金监督检查增加公务用车燃油费用。所以导致</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增加。其中：因公出国（境）费支出0.00万元，占0.00%，比上年增加0.00万元，增长0.00%，主要原因是：因为</w:t>
      </w:r>
      <w:r>
        <w:rPr>
          <w:rFonts w:hint="eastAsia" w:ascii="仿宋_GB2312" w:eastAsia="仿宋_GB2312"/>
          <w:sz w:val="32"/>
          <w:szCs w:val="32"/>
        </w:rPr>
        <w:t>本年无因公出国（境）费支出，</w:t>
      </w:r>
      <w:r>
        <w:rPr>
          <w:rFonts w:hint="eastAsia" w:ascii="仿宋_GB2312" w:eastAsia="仿宋_GB2312"/>
          <w:sz w:val="32"/>
          <w:szCs w:val="32"/>
          <w:lang w:eastAsia="zh-CN"/>
        </w:rPr>
        <w:t>所以</w:t>
      </w:r>
      <w:r>
        <w:rPr>
          <w:rFonts w:hint="eastAsia" w:ascii="仿宋_GB2312" w:eastAsia="仿宋_GB2312"/>
          <w:sz w:val="32"/>
          <w:szCs w:val="32"/>
        </w:rPr>
        <w:t>与上年相比无变动</w:t>
      </w:r>
      <w:r>
        <w:rPr>
          <w:rFonts w:hint="eastAsia" w:ascii="仿宋_GB2312" w:eastAsia="仿宋_GB2312"/>
          <w:color w:val="auto"/>
          <w:sz w:val="32"/>
          <w:szCs w:val="32"/>
          <w:highlight w:val="none"/>
          <w:lang w:val="zh-CN" w:eastAsia="zh-CN"/>
        </w:rPr>
        <w:t>；公务用车购置及运行维护费支出3.67万元，占100.00%，比上年增加</w:t>
      </w:r>
      <w:r>
        <w:rPr>
          <w:rFonts w:hint="eastAsia" w:ascii="仿宋_GB2312" w:eastAsia="仿宋_GB2312"/>
          <w:color w:val="auto"/>
          <w:sz w:val="32"/>
          <w:szCs w:val="32"/>
          <w:highlight w:val="none"/>
          <w:lang w:val="en-US" w:eastAsia="zh-CN"/>
        </w:rPr>
        <w:t>0.78</w:t>
      </w:r>
      <w:r>
        <w:rPr>
          <w:rFonts w:hint="eastAsia" w:ascii="仿宋_GB2312" w:eastAsia="仿宋_GB2312"/>
          <w:color w:val="auto"/>
          <w:sz w:val="32"/>
          <w:szCs w:val="32"/>
          <w:highlight w:val="none"/>
          <w:lang w:val="zh-CN" w:eastAsia="zh-CN"/>
        </w:rPr>
        <w:t>万元，增长</w:t>
      </w:r>
      <w:r>
        <w:rPr>
          <w:rFonts w:hint="eastAsia" w:ascii="仿宋_GB2312" w:eastAsia="仿宋_GB2312"/>
          <w:color w:val="auto"/>
          <w:sz w:val="32"/>
          <w:szCs w:val="32"/>
          <w:highlight w:val="none"/>
          <w:lang w:val="en-US" w:eastAsia="zh-CN"/>
        </w:rPr>
        <w:t>26.99</w:t>
      </w:r>
      <w:r>
        <w:rPr>
          <w:rFonts w:hint="eastAsia" w:ascii="仿宋_GB2312" w:eastAsia="仿宋_GB2312"/>
          <w:color w:val="auto"/>
          <w:sz w:val="32"/>
          <w:szCs w:val="32"/>
          <w:highlight w:val="none"/>
          <w:lang w:val="zh-CN" w:eastAsia="zh-CN"/>
        </w:rPr>
        <w:t>%，主要原因是：因为医疗业务基金监督检查增加公务用车燃油费用。所以导致</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增加；公务接待费支出0.00万元，占0.00%，比上年增加0.00万元，增长0.00%，主要原因是：因为本年度无安排</w:t>
      </w:r>
      <w:r>
        <w:rPr>
          <w:rFonts w:hint="eastAsia" w:ascii="仿宋_GB2312" w:eastAsia="仿宋_GB2312"/>
          <w:sz w:val="32"/>
          <w:szCs w:val="32"/>
        </w:rPr>
        <w:t>公务接待费无变动</w:t>
      </w:r>
      <w:r>
        <w:rPr>
          <w:rFonts w:hint="eastAsia" w:ascii="仿宋_GB2312" w:eastAsia="仿宋_GB2312"/>
          <w:sz w:val="32"/>
          <w:szCs w:val="32"/>
          <w:lang w:val="en-US" w:eastAsia="zh-CN"/>
        </w:rPr>
        <w:t>,</w:t>
      </w:r>
      <w:r>
        <w:rPr>
          <w:rFonts w:hint="eastAsia" w:ascii="仿宋_GB2312" w:eastAsia="仿宋_GB2312"/>
          <w:sz w:val="32"/>
          <w:szCs w:val="32"/>
          <w:lang w:eastAsia="zh-CN"/>
        </w:rPr>
        <w:t>所以</w:t>
      </w:r>
      <w:r>
        <w:rPr>
          <w:rFonts w:hint="eastAsia" w:ascii="仿宋_GB2312" w:eastAsia="仿宋_GB2312"/>
          <w:sz w:val="32"/>
          <w:szCs w:val="32"/>
        </w:rPr>
        <w:t>与上年相比无变动</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本年未安排因公出国（境）费支出，无开支内容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公务用车购置及运行维护费3.67万元，其中：公务用车购置费0.00万元，公务用车运行维护费3.67万元。公务用车运行维护费开支内容包括</w:t>
      </w:r>
      <w:r>
        <w:rPr>
          <w:rFonts w:hint="eastAsia" w:ascii="仿宋_GB2312" w:eastAsia="仿宋_GB2312"/>
          <w:sz w:val="32"/>
          <w:szCs w:val="32"/>
          <w:lang w:eastAsia="zh-CN"/>
        </w:rPr>
        <w:t>车辆保险费、燃油费、车辆维修费、车辆年审运行等相关费用</w:t>
      </w:r>
      <w:r>
        <w:rPr>
          <w:rFonts w:hint="eastAsia" w:ascii="仿宋_GB2312" w:eastAsia="仿宋_GB2312"/>
          <w:color w:val="auto"/>
          <w:sz w:val="32"/>
          <w:szCs w:val="32"/>
          <w:highlight w:val="none"/>
          <w:lang w:val="zh-CN" w:eastAsia="zh-CN"/>
        </w:rPr>
        <w:t>。公务用车购置数0辆，公务用车保有量4辆。国有资产占用情况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原因是：因为国有资产占用情况</w:t>
      </w:r>
      <w:r>
        <w:rPr>
          <w:rFonts w:hint="eastAsia" w:ascii="仿宋_GB2312" w:eastAsia="仿宋_GB2312"/>
          <w:color w:val="auto"/>
          <w:sz w:val="32"/>
          <w:szCs w:val="32"/>
          <w:highlight w:val="none"/>
          <w:lang w:val="en-US" w:eastAsia="zh-CN"/>
        </w:rPr>
        <w:t>中固定资产车辆与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hAnsi="宋体" w:eastAsia="仿宋_GB2312" w:cs="宋体"/>
          <w:kern w:val="0"/>
          <w:sz w:val="32"/>
          <w:szCs w:val="32"/>
        </w:rPr>
        <w:t>本年未安排公务接待费支出，无开支内容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预算数3.67万元，决算数3.67万元，预决算差异率0.00%，主要原因是：</w:t>
      </w:r>
      <w:r>
        <w:rPr>
          <w:rFonts w:hint="eastAsia" w:ascii="仿宋_GB2312" w:eastAsia="仿宋_GB2312"/>
          <w:color w:val="auto"/>
          <w:sz w:val="32"/>
          <w:szCs w:val="32"/>
        </w:rPr>
        <w:t>认真</w:t>
      </w:r>
      <w:r>
        <w:rPr>
          <w:rFonts w:hint="eastAsia" w:ascii="仿宋_GB2312" w:eastAsia="仿宋_GB2312"/>
          <w:color w:val="auto"/>
          <w:sz w:val="32"/>
          <w:szCs w:val="32"/>
          <w:lang w:eastAsia="zh-CN"/>
        </w:rPr>
        <w:t>贯彻落实中央八项规定</w:t>
      </w:r>
      <w:r>
        <w:rPr>
          <w:rFonts w:hint="eastAsia" w:ascii="仿宋_GB2312" w:eastAsia="仿宋_GB2312"/>
          <w:color w:val="auto"/>
          <w:sz w:val="32"/>
          <w:szCs w:val="32"/>
        </w:rPr>
        <w:t>精神和厉行节约要求，从严控制“三公”经费开支</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0.00万元，决算数0.00万元，预决算差异率0.00%，主要原因是：因为因公出国（境）费单位无安排此项支出</w:t>
      </w:r>
      <w:r>
        <w:rPr>
          <w:rFonts w:hint="eastAsia" w:ascii="仿宋_GB2312" w:eastAsia="仿宋_GB2312"/>
          <w:color w:val="auto"/>
          <w:sz w:val="32"/>
          <w:szCs w:val="32"/>
          <w:highlight w:val="none"/>
          <w:lang w:val="en-US" w:eastAsia="zh-CN"/>
        </w:rPr>
        <w:t>,所以</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预算数0.00万元，决算数0.00万元，预决算差异率0.00%，主要原因是：因为公务用车购置费单位无安排此项支出</w:t>
      </w:r>
      <w:r>
        <w:rPr>
          <w:rFonts w:hint="eastAsia" w:ascii="仿宋_GB2312" w:eastAsia="仿宋_GB2312"/>
          <w:color w:val="auto"/>
          <w:sz w:val="32"/>
          <w:szCs w:val="32"/>
          <w:highlight w:val="none"/>
          <w:lang w:val="en-US" w:eastAsia="zh-CN"/>
        </w:rPr>
        <w:t>,所以</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预算数3.67万元，决算数3.67万元，预决算差异率0.00%，主要原因是：因为</w:t>
      </w:r>
      <w:r>
        <w:rPr>
          <w:rFonts w:hint="eastAsia" w:ascii="仿宋_GB2312" w:eastAsia="仿宋_GB2312"/>
          <w:color w:val="auto"/>
          <w:sz w:val="32"/>
          <w:szCs w:val="32"/>
        </w:rPr>
        <w:t>认真</w:t>
      </w:r>
      <w:r>
        <w:rPr>
          <w:rFonts w:hint="eastAsia" w:ascii="仿宋_GB2312" w:eastAsia="仿宋_GB2312"/>
          <w:color w:val="auto"/>
          <w:sz w:val="32"/>
          <w:szCs w:val="32"/>
          <w:lang w:eastAsia="zh-CN"/>
        </w:rPr>
        <w:t>贯彻落实中央八项规定</w:t>
      </w:r>
      <w:r>
        <w:rPr>
          <w:rFonts w:hint="eastAsia" w:ascii="仿宋_GB2312" w:eastAsia="仿宋_GB2312"/>
          <w:color w:val="auto"/>
          <w:sz w:val="32"/>
          <w:szCs w:val="32"/>
        </w:rPr>
        <w:t>精神和厉行节约要求，从严控制“三公”经费开支</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预算数0.00万元，决算数0.00万元，预决算差异率0.00%，主要原因是：因为公务接待费本单位无安排此项费用支出</w:t>
      </w:r>
      <w:r>
        <w:rPr>
          <w:rFonts w:hint="eastAsia" w:ascii="仿宋_GB2312" w:eastAsia="仿宋_GB2312"/>
          <w:color w:val="auto"/>
          <w:sz w:val="32"/>
          <w:szCs w:val="32"/>
          <w:highlight w:val="none"/>
          <w:lang w:val="en-US" w:eastAsia="zh-CN"/>
        </w:rPr>
        <w:t>,所以</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库尔勒市医疗保障局（行政单位）机关运行经费支出33.14万元，比上年增加</w:t>
      </w:r>
      <w:r>
        <w:rPr>
          <w:rFonts w:hint="eastAsia" w:eastAsia="仿宋_GB2312" w:cs="Times New Roman"/>
          <w:color w:val="000000" w:themeColor="text1"/>
          <w:sz w:val="32"/>
          <w:szCs w:val="32"/>
          <w:highlight w:val="none"/>
          <w:lang w:val="en-US" w:eastAsia="zh-CN"/>
          <w14:textFill>
            <w14:solidFill>
              <w14:schemeClr w14:val="tx1"/>
            </w14:solidFill>
          </w14:textFill>
        </w:rPr>
        <w:t>16.12</w:t>
      </w:r>
      <w:r>
        <w:rPr>
          <w:rFonts w:hint="eastAsia" w:ascii="Times New Roman" w:hAnsi="Times New Roman" w:eastAsia="仿宋_GB2312" w:cs="Times New Roman"/>
          <w:color w:val="auto"/>
          <w:sz w:val="32"/>
          <w:szCs w:val="32"/>
          <w:highlight w:val="none"/>
          <w:lang w:val="en-US" w:eastAsia="zh-CN"/>
        </w:rPr>
        <w:t>万元，增长</w:t>
      </w:r>
      <w:r>
        <w:rPr>
          <w:rFonts w:hint="eastAsia" w:eastAsia="仿宋_GB2312" w:cs="Times New Roman"/>
          <w:color w:val="auto"/>
          <w:sz w:val="32"/>
          <w:szCs w:val="32"/>
          <w:highlight w:val="none"/>
          <w:lang w:val="en-US" w:eastAsia="zh-CN"/>
        </w:rPr>
        <w:t>94.71</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主要原因是：</w:t>
      </w:r>
      <w:r>
        <w:rPr>
          <w:rFonts w:hint="eastAsia" w:eastAsia="仿宋_GB2312" w:cs="Times New Roman"/>
          <w:color w:val="auto"/>
          <w:sz w:val="32"/>
          <w:szCs w:val="32"/>
          <w:highlight w:val="none"/>
          <w:lang w:val="en-US" w:eastAsia="zh-CN"/>
        </w:rPr>
        <w:t>因为增加访</w:t>
      </w:r>
      <w:r>
        <w:rPr>
          <w:rFonts w:hint="eastAsia" w:ascii="Times New Roman" w:hAnsi="Times New Roman" w:eastAsia="仿宋_GB2312" w:cs="Times New Roman"/>
          <w:color w:val="auto"/>
          <w:sz w:val="32"/>
          <w:szCs w:val="32"/>
          <w:highlight w:val="none"/>
          <w:lang w:val="en-US" w:eastAsia="zh-CN"/>
        </w:rPr>
        <w:t>惠聚工作队为民办实事经费</w:t>
      </w:r>
      <w:r>
        <w:rPr>
          <w:rFonts w:hint="eastAsia" w:eastAsia="仿宋_GB2312" w:cs="Times New Roman"/>
          <w:color w:val="auto"/>
          <w:sz w:val="32"/>
          <w:szCs w:val="32"/>
          <w:highlight w:val="none"/>
          <w:lang w:val="en-US" w:eastAsia="zh-CN"/>
        </w:rPr>
        <w:t>、2022年职工体检福利费、2023年办公大楼物业费、2023年工会经费单位部分缴款</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所以导致</w:t>
      </w:r>
      <w:r>
        <w:rPr>
          <w:rFonts w:hint="eastAsia" w:ascii="Times New Roman" w:hAnsi="Times New Roman" w:eastAsia="仿宋_GB2312" w:cs="Times New Roman"/>
          <w:color w:val="auto"/>
          <w:sz w:val="32"/>
          <w:szCs w:val="32"/>
          <w:highlight w:val="none"/>
          <w:lang w:val="en-US" w:eastAsia="zh-CN"/>
        </w:rPr>
        <w:t>比上年增加</w:t>
      </w:r>
      <w:r>
        <w:rPr>
          <w:rFonts w:hint="eastAsia"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18.39万元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其中：政府采购货物支出14.45万元、政府采购工程支出0.00万元、政府采购服务支出3.94万元。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授予中小企业合同金额18.39万元，占政府采购支出总额的100.00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，其中：授予小微企业合同金额14.20万元，占政府采购支出总额的77.21</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113.12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屋0.0平方米，价值0.00万元。车辆4辆，价值24.20万元，其中：副部（省）级及以上领导用车0辆、主要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用车0辆、其他用车4辆，其他用车主要是：</w:t>
      </w:r>
      <w:r>
        <w:rPr>
          <w:rFonts w:hint="eastAsia" w:ascii="仿宋_GB2312" w:eastAsia="仿宋_GB2312"/>
          <w:color w:val="auto"/>
          <w:sz w:val="32"/>
          <w:szCs w:val="32"/>
        </w:rPr>
        <w:t>用于</w:t>
      </w:r>
      <w:r>
        <w:rPr>
          <w:rFonts w:hint="eastAsia" w:ascii="仿宋_GB2312" w:eastAsia="仿宋_GB2312"/>
          <w:color w:val="auto"/>
          <w:sz w:val="32"/>
          <w:szCs w:val="32"/>
          <w:lang w:eastAsia="zh-CN"/>
        </w:rPr>
        <w:t>保障</w:t>
      </w:r>
      <w:r>
        <w:rPr>
          <w:rFonts w:hint="eastAsia" w:ascii="仿宋_GB2312" w:eastAsia="仿宋_GB2312"/>
          <w:color w:val="auto"/>
          <w:sz w:val="32"/>
          <w:szCs w:val="32"/>
        </w:rPr>
        <w:t>医疗业务用车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根据预算绩效管理要求，我</w:t>
      </w:r>
      <w:r>
        <w:rPr>
          <w:rFonts w:hint="eastAsia" w:eastAsia="仿宋_GB2312" w:cs="Times New Roman"/>
          <w:color w:val="auto"/>
          <w:sz w:val="32"/>
          <w:szCs w:val="32"/>
          <w:highlight w:val="none"/>
          <w:lang w:val="en-US" w:eastAsia="zh-CN"/>
        </w:rPr>
        <w:t>部门</w:t>
      </w:r>
      <w:r>
        <w:rPr>
          <w:rFonts w:hint="eastAsia" w:ascii="Times New Roman" w:hAnsi="Times New Roman" w:eastAsia="仿宋_GB2312" w:cs="Times New Roman"/>
          <w:color w:val="auto"/>
          <w:sz w:val="32"/>
          <w:szCs w:val="32"/>
          <w:highlight w:val="none"/>
          <w:lang w:val="zh-CN" w:eastAsia="zh-CN"/>
        </w:rPr>
        <w:t>2023年度预算绩效管理整体</w:t>
      </w:r>
      <w:r>
        <w:rPr>
          <w:rFonts w:hint="eastAsia" w:ascii="Times New Roman" w:hAnsi="Times New Roman" w:eastAsia="仿宋_GB2312" w:cs="Times New Roman"/>
          <w:color w:val="auto"/>
          <w:sz w:val="32"/>
          <w:szCs w:val="32"/>
          <w:highlight w:val="none"/>
          <w:lang w:val="en-US" w:eastAsia="zh-CN"/>
        </w:rPr>
        <w:t>支出</w:t>
      </w:r>
      <w:r>
        <w:rPr>
          <w:rFonts w:hint="eastAsia" w:ascii="Times New Roman" w:hAnsi="Times New Roman" w:eastAsia="仿宋_GB2312" w:cs="Times New Roman"/>
          <w:color w:val="auto"/>
          <w:sz w:val="32"/>
          <w:szCs w:val="32"/>
          <w:highlight w:val="none"/>
          <w:lang w:val="zh-CN" w:eastAsia="zh-CN"/>
        </w:rPr>
        <w:t>绩效自评表</w:t>
      </w:r>
      <w:r>
        <w:rPr>
          <w:rFonts w:hint="eastAsia" w:ascii="Times New Roman" w:hAnsi="Times New Roman" w:eastAsia="仿宋_GB2312" w:cs="Times New Roman"/>
          <w:color w:val="auto"/>
          <w:sz w:val="32"/>
          <w:szCs w:val="32"/>
          <w:highlight w:val="none"/>
          <w:lang w:val="en-US" w:eastAsia="zh-CN"/>
        </w:rPr>
        <w:t>1个，全年预算总额946.69</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实际执行总额946.69</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预算绩效评价项目</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zh-CN" w:eastAsia="zh-CN"/>
        </w:rPr>
        <w:t>个，</w:t>
      </w:r>
      <w:r>
        <w:rPr>
          <w:rFonts w:hint="eastAsia" w:ascii="Times New Roman" w:hAnsi="Times New Roman" w:eastAsia="仿宋_GB2312" w:cs="Times New Roman"/>
          <w:color w:val="auto"/>
          <w:sz w:val="32"/>
          <w:szCs w:val="32"/>
          <w:highlight w:val="none"/>
          <w:lang w:val="en-US" w:eastAsia="zh-CN"/>
        </w:rPr>
        <w:t>全年预算数46.4</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全年执行数39.84</w:t>
      </w:r>
      <w:r>
        <w:rPr>
          <w:rFonts w:hint="eastAsia" w:ascii="Times New Roman" w:hAnsi="Times New Roman" w:eastAsia="仿宋_GB2312" w:cs="Times New Roman"/>
          <w:color w:val="auto"/>
          <w:sz w:val="32"/>
          <w:szCs w:val="32"/>
          <w:highlight w:val="none"/>
          <w:lang w:val="zh-CN" w:eastAsia="zh-CN"/>
        </w:rPr>
        <w:t>万元。预算绩效管理取得的成效：一是能够如期、保质、保量完成既定工作目标保证预期目标达成。提高财政资金分配的科学性、有效性，加强财政专项资金管理，提高支出效益；二是贯彻实施国家、自治区、自治州医疗保险等政策执行完成医疗保险参保工作：城乡医疗保险参保缴费人数31.</w:t>
      </w:r>
      <w:r>
        <w:rPr>
          <w:rFonts w:hint="eastAsia" w:ascii="Times New Roman" w:hAnsi="Times New Roman" w:eastAsia="仿宋_GB2312" w:cs="Times New Roman"/>
          <w:color w:val="auto"/>
          <w:sz w:val="32"/>
          <w:szCs w:val="32"/>
          <w:highlight w:val="none"/>
          <w:lang w:val="en-US" w:eastAsia="zh-CN"/>
        </w:rPr>
        <w:t>71</w:t>
      </w:r>
      <w:r>
        <w:rPr>
          <w:rFonts w:hint="eastAsia" w:ascii="Times New Roman" w:hAnsi="Times New Roman" w:eastAsia="仿宋_GB2312" w:cs="Times New Roman"/>
          <w:color w:val="auto"/>
          <w:sz w:val="32"/>
          <w:szCs w:val="32"/>
          <w:highlight w:val="none"/>
          <w:lang w:val="zh-CN" w:eastAsia="zh-CN"/>
        </w:rPr>
        <w:t>万人</w:t>
      </w:r>
      <w:r>
        <w:rPr>
          <w:rFonts w:hint="eastAsia" w:ascii="Times New Roman" w:hAnsi="Times New Roman" w:eastAsia="仿宋_GB2312" w:cs="Times New Roman"/>
          <w:color w:val="auto"/>
          <w:sz w:val="32"/>
          <w:szCs w:val="32"/>
          <w:highlight w:val="none"/>
          <w:lang w:val="en-US" w:eastAsia="zh-CN"/>
        </w:rPr>
        <w:t>,职工医疗保险参保缴费人数15.74万人</w:t>
      </w:r>
      <w:r>
        <w:rPr>
          <w:rFonts w:hint="eastAsia" w:ascii="Times New Roman" w:hAnsi="Times New Roman" w:eastAsia="仿宋_GB2312" w:cs="Times New Roman"/>
          <w:color w:val="auto"/>
          <w:sz w:val="32"/>
          <w:szCs w:val="32"/>
          <w:highlight w:val="none"/>
          <w:lang w:val="zh-CN" w:eastAsia="zh-CN"/>
        </w:rPr>
        <w:t>；三是确保单位各项工作的有序开展，加大宣传力度，完善医保政策，提升保障水平，落实扶贫政策，助力脱贫，确保医疗保障工作正常开展，有效提升社会医疗保险履职服务工作水平。四是积极推进医疗保障工作，保障财政补助资金，全面实施大病保险制度，减轻参保人员的经济负担，缓解社会矛盾。发现的问题及原因：一是对预算管理意识有待进一步提升，把预算编制的相关制度和要求做的更好；二是不断完善相关管理制度，优化管理方案，加强财务管理制度执行力。下一步改进措施：</w:t>
      </w:r>
      <w:r>
        <w:rPr>
          <w:rFonts w:hint="eastAsia" w:ascii="Times New Roman" w:hAnsi="Times New Roman" w:eastAsia="仿宋_GB2312" w:cs="Times New Roman"/>
          <w:color w:val="auto"/>
          <w:sz w:val="32"/>
          <w:szCs w:val="32"/>
          <w:highlight w:val="none"/>
          <w:lang w:val="en-US" w:eastAsia="zh-CN"/>
        </w:rPr>
        <w:t>一是</w:t>
      </w:r>
      <w:r>
        <w:rPr>
          <w:rFonts w:hint="eastAsia" w:ascii="Times New Roman" w:hAnsi="Times New Roman" w:eastAsia="仿宋_GB2312" w:cs="Times New Roman"/>
          <w:color w:val="auto"/>
          <w:sz w:val="32"/>
          <w:szCs w:val="32"/>
          <w:highlight w:val="none"/>
          <w:lang w:val="zh-CN" w:eastAsia="zh-CN"/>
        </w:rPr>
        <w:t>建立健全的预算绩效管理体制，加强对预算绩效相关知识的了解和掌握，促进绩效管理工作向广度和深度延伸，切实提高部门预算收支管理水平，本着“勤俭节约、保障运转”的原则进行预算的编制。在预算编制时首先需满足固定性的、相对刚性的费用支出项目，尽量压缩变动性的、有控制空间的费用项目，进一步提高预算编制的科学性、合理性、严谨性和可控性；</w:t>
      </w:r>
      <w:r>
        <w:rPr>
          <w:rFonts w:hint="eastAsia" w:ascii="Times New Roman" w:hAnsi="Times New Roman" w:eastAsia="仿宋_GB2312" w:cs="Times New Roman"/>
          <w:color w:val="auto"/>
          <w:sz w:val="32"/>
          <w:szCs w:val="32"/>
          <w:highlight w:val="none"/>
          <w:lang w:val="en-US" w:eastAsia="zh-CN"/>
        </w:rPr>
        <w:t>二是</w:t>
      </w:r>
      <w:r>
        <w:rPr>
          <w:rFonts w:hint="eastAsia" w:ascii="Times New Roman" w:hAnsi="Times New Roman" w:eastAsia="仿宋_GB2312" w:cs="Times New Roman"/>
          <w:color w:val="auto"/>
          <w:sz w:val="32"/>
          <w:szCs w:val="32"/>
          <w:highlight w:val="none"/>
          <w:lang w:val="zh-CN" w:eastAsia="zh-CN"/>
        </w:rPr>
        <w:t>加强财务管理，在资金使用时，严格按照相关财务规定制度及流程审核、支付、财务核算，杜绝违规现象的发生。</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增加财务人员专业技能的学习，提高工作能力。通过财政平台，不定期了解资金情况，及时掌握资金执行精度，查找影响执行进度的症结，采取相应对策，并确保资金使用、支付符合相关规定，用好专项资金，惠及广大困难群众。提高部门决算编制的准确性和可靠性；提高部门决算执行效率，对照发现的问题进行深入细致的分析，查找原因，并针对预算编制和项目预算管理方面严格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具体项目自评情况附项目支出绩效自评表。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十</w:t>
      </w:r>
      <w:r>
        <w:rPr>
          <w:rFonts w:hint="eastAsia" w:ascii="Times New Roman" w:hAnsi="Times New Roman" w:eastAsia="仿宋_GB2312" w:cs="Times New Roman"/>
          <w:color w:val="auto"/>
          <w:sz w:val="32"/>
          <w:szCs w:val="32"/>
          <w:highlight w:val="none"/>
          <w:lang w:val="en-US" w:eastAsia="zh-CN"/>
        </w:rPr>
        <w:t>二</w:t>
      </w:r>
      <w:r>
        <w:rPr>
          <w:rFonts w:hint="eastAsia" w:ascii="Times New Roman" w:hAnsi="Times New Roman" w:eastAsia="仿宋_GB2312" w:cs="Times New Roman"/>
          <w:color w:val="auto"/>
          <w:sz w:val="32"/>
          <w:szCs w:val="32"/>
          <w:highlight w:val="none"/>
          <w:lang w:val="zh-CN"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本</w:t>
      </w:r>
      <w:r>
        <w:rPr>
          <w:rFonts w:hint="eastAsia" w:eastAsia="仿宋_GB2312" w:cs="Times New Roman"/>
          <w:color w:val="auto"/>
          <w:sz w:val="32"/>
          <w:szCs w:val="32"/>
          <w:highlight w:val="none"/>
          <w:lang w:val="en-US" w:eastAsia="zh-CN"/>
        </w:rPr>
        <w:t>部门</w:t>
      </w:r>
      <w:r>
        <w:rPr>
          <w:rFonts w:hint="eastAsia" w:ascii="Times New Roman" w:hAnsi="Times New Roman" w:eastAsia="仿宋_GB2312" w:cs="Times New Roman"/>
          <w:color w:val="auto"/>
          <w:sz w:val="32"/>
          <w:szCs w:val="32"/>
          <w:highlight w:val="none"/>
          <w:lang w:val="en-US" w:eastAsia="zh-CN"/>
        </w:rPr>
        <w:t>无其他需说明事项</w:t>
      </w:r>
      <w:r>
        <w:rPr>
          <w:rFonts w:hint="eastAsia"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pStyle w:val="2"/>
        <w:rPr>
          <w:rFonts w:hint="eastAsia" w:ascii="黑体" w:hAnsi="黑体" w:eastAsia="仿宋_GB2312" w:cs="宋体"/>
          <w:bCs/>
          <w:color w:val="auto"/>
          <w:kern w:val="0"/>
          <w:sz w:val="32"/>
          <w:szCs w:val="32"/>
          <w:highlight w:val="none"/>
        </w:rPr>
      </w:pPr>
    </w:p>
    <w:p>
      <w:pPr>
        <w:pStyle w:val="4"/>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p>
    <w:p>
      <w:pPr>
        <w:pStyle w:val="2"/>
        <w:rPr>
          <w:rFonts w:hint="eastAsia"/>
        </w:rPr>
      </w:pP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pStyle w:val="4"/>
        <w:rPr>
          <w:rFonts w:hint="eastAsia" w:ascii="仿宋_GB2312" w:eastAsia="仿宋_GB2312"/>
          <w:color w:val="auto"/>
          <w:sz w:val="32"/>
          <w:szCs w:val="32"/>
          <w:highlight w:val="none"/>
        </w:rPr>
      </w:pPr>
    </w:p>
    <w:p>
      <w:pPr>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anchor distT="0" distB="0" distL="114300" distR="114300" simplePos="0" relativeHeight="251661312" behindDoc="0" locked="0" layoutInCell="1" allowOverlap="1">
            <wp:simplePos x="0" y="0"/>
            <wp:positionH relativeFrom="column">
              <wp:posOffset>0</wp:posOffset>
            </wp:positionH>
            <wp:positionV relativeFrom="paragraph">
              <wp:posOffset>7620</wp:posOffset>
            </wp:positionV>
            <wp:extent cx="5273675" cy="8302625"/>
            <wp:effectExtent l="0" t="0" r="3175" b="3175"/>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273675" cy="8302625"/>
                    </a:xfrm>
                    <a:prstGeom prst="rect">
                      <a:avLst/>
                    </a:prstGeom>
                    <a:noFill/>
                    <a:ln>
                      <a:noFill/>
                    </a:ln>
                  </pic:spPr>
                </pic:pic>
              </a:graphicData>
            </a:graphic>
          </wp:anchor>
        </w:drawing>
      </w:r>
    </w:p>
    <w:p>
      <w:pPr>
        <w:pStyle w:val="4"/>
        <w:ind w:left="0" w:leftChars="0" w:firstLine="0" w:firstLineChars="0"/>
      </w:pPr>
      <w:r>
        <w:drawing>
          <wp:anchor distT="0" distB="0" distL="114300" distR="114300" simplePos="0" relativeHeight="251660288" behindDoc="0" locked="0" layoutInCell="1" allowOverlap="1">
            <wp:simplePos x="0" y="0"/>
            <wp:positionH relativeFrom="column">
              <wp:posOffset>16510</wp:posOffset>
            </wp:positionH>
            <wp:positionV relativeFrom="paragraph">
              <wp:posOffset>72390</wp:posOffset>
            </wp:positionV>
            <wp:extent cx="5264150" cy="8569325"/>
            <wp:effectExtent l="0" t="0" r="12700" b="3175"/>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5264150" cy="8569325"/>
                    </a:xfrm>
                    <a:prstGeom prst="rect">
                      <a:avLst/>
                    </a:prstGeom>
                    <a:noFill/>
                    <a:ln>
                      <a:noFill/>
                    </a:ln>
                  </pic:spPr>
                </pic:pic>
              </a:graphicData>
            </a:graphic>
          </wp:anchor>
        </w:drawing>
      </w:r>
    </w:p>
    <w:p>
      <w:pPr>
        <w:pStyle w:val="2"/>
        <w:ind w:left="0" w:leftChars="0" w:firstLine="0" w:firstLineChars="0"/>
      </w:pPr>
      <w:r>
        <w:drawing>
          <wp:anchor distT="0" distB="0" distL="114300" distR="114300" simplePos="0" relativeHeight="251662336" behindDoc="0" locked="0" layoutInCell="1" allowOverlap="1">
            <wp:simplePos x="0" y="0"/>
            <wp:positionH relativeFrom="column">
              <wp:posOffset>0</wp:posOffset>
            </wp:positionH>
            <wp:positionV relativeFrom="paragraph">
              <wp:posOffset>78105</wp:posOffset>
            </wp:positionV>
            <wp:extent cx="5268595" cy="8346440"/>
            <wp:effectExtent l="0" t="0" r="8255" b="1651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5268595" cy="8346440"/>
                    </a:xfrm>
                    <a:prstGeom prst="rect">
                      <a:avLst/>
                    </a:prstGeom>
                    <a:noFill/>
                    <a:ln>
                      <a:noFill/>
                    </a:ln>
                  </pic:spPr>
                </pic:pic>
              </a:graphicData>
            </a:graphic>
          </wp:anchor>
        </w:drawing>
      </w:r>
    </w:p>
    <w:p>
      <w:pPr>
        <w:pStyle w:val="2"/>
        <w:ind w:left="0" w:leftChars="0" w:firstLine="0" w:firstLineChars="0"/>
      </w:pPr>
      <w:r>
        <w:drawing>
          <wp:anchor distT="0" distB="0" distL="114300" distR="114300" simplePos="0" relativeHeight="251659264" behindDoc="0" locked="0" layoutInCell="1" allowOverlap="1">
            <wp:simplePos x="0" y="0"/>
            <wp:positionH relativeFrom="column">
              <wp:posOffset>0</wp:posOffset>
            </wp:positionH>
            <wp:positionV relativeFrom="paragraph">
              <wp:posOffset>13335</wp:posOffset>
            </wp:positionV>
            <wp:extent cx="5273040" cy="8517890"/>
            <wp:effectExtent l="0" t="0" r="3810" b="1651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273040" cy="8517890"/>
                    </a:xfrm>
                    <a:prstGeom prst="rect">
                      <a:avLst/>
                    </a:prstGeom>
                    <a:noFill/>
                    <a:ln>
                      <a:noFill/>
                    </a:ln>
                  </pic:spPr>
                </pic:pic>
              </a:graphicData>
            </a:graphic>
          </wp:anchor>
        </w:drawing>
      </w:r>
    </w:p>
    <w:p>
      <w:pPr>
        <w:pStyle w:val="4"/>
        <w:ind w:left="0" w:leftChars="0" w:firstLine="0" w:firstLineChars="0"/>
      </w:pPr>
      <w:r>
        <w:drawing>
          <wp:anchor distT="0" distB="0" distL="114300" distR="114300" simplePos="0" relativeHeight="251663360" behindDoc="0" locked="0" layoutInCell="1" allowOverlap="1">
            <wp:simplePos x="0" y="0"/>
            <wp:positionH relativeFrom="column">
              <wp:posOffset>0</wp:posOffset>
            </wp:positionH>
            <wp:positionV relativeFrom="paragraph">
              <wp:posOffset>83820</wp:posOffset>
            </wp:positionV>
            <wp:extent cx="5271135" cy="8337550"/>
            <wp:effectExtent l="0" t="0" r="5715" b="6350"/>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5271135" cy="8337550"/>
                    </a:xfrm>
                    <a:prstGeom prst="rect">
                      <a:avLst/>
                    </a:prstGeom>
                    <a:noFill/>
                    <a:ln>
                      <a:noFill/>
                    </a:ln>
                  </pic:spPr>
                </pic:pic>
              </a:graphicData>
            </a:graphic>
          </wp:anchor>
        </w:drawing>
      </w:r>
    </w:p>
    <w:p/>
    <w:p>
      <w:pPr>
        <w:pStyle w:val="2"/>
        <w:ind w:left="0" w:leftChars="0" w:firstLine="0" w:firstLineChars="0"/>
      </w:pPr>
      <w:r>
        <w:drawing>
          <wp:anchor distT="0" distB="0" distL="114300" distR="114300" simplePos="0" relativeHeight="251667456" behindDoc="0" locked="0" layoutInCell="1" allowOverlap="1">
            <wp:simplePos x="0" y="0"/>
            <wp:positionH relativeFrom="column">
              <wp:posOffset>0</wp:posOffset>
            </wp:positionH>
            <wp:positionV relativeFrom="paragraph">
              <wp:posOffset>38100</wp:posOffset>
            </wp:positionV>
            <wp:extent cx="5268595" cy="8675370"/>
            <wp:effectExtent l="0" t="0" r="4445" b="11430"/>
            <wp:wrapSquare wrapText="bothSides"/>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0"/>
                    <a:stretch>
                      <a:fillRect/>
                    </a:stretch>
                  </pic:blipFill>
                  <pic:spPr>
                    <a:xfrm>
                      <a:off x="0" y="0"/>
                      <a:ext cx="5268595" cy="8675370"/>
                    </a:xfrm>
                    <a:prstGeom prst="rect">
                      <a:avLst/>
                    </a:prstGeom>
                    <a:noFill/>
                    <a:ln>
                      <a:noFill/>
                    </a:ln>
                  </pic:spPr>
                </pic:pic>
              </a:graphicData>
            </a:graphic>
          </wp:anchor>
        </w:drawing>
      </w:r>
    </w:p>
    <w:p>
      <w:pPr>
        <w:pStyle w:val="2"/>
        <w:ind w:left="0" w:leftChars="0" w:firstLine="0" w:firstLineChars="0"/>
      </w:pPr>
      <w:r>
        <w:drawing>
          <wp:anchor distT="0" distB="0" distL="114300" distR="114300" simplePos="0" relativeHeight="251664384" behindDoc="0" locked="0" layoutInCell="1" allowOverlap="1">
            <wp:simplePos x="0" y="0"/>
            <wp:positionH relativeFrom="column">
              <wp:posOffset>0</wp:posOffset>
            </wp:positionH>
            <wp:positionV relativeFrom="paragraph">
              <wp:posOffset>38100</wp:posOffset>
            </wp:positionV>
            <wp:extent cx="5270500" cy="2456815"/>
            <wp:effectExtent l="0" t="0" r="6350" b="635"/>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5270500" cy="2456815"/>
                    </a:xfrm>
                    <a:prstGeom prst="rect">
                      <a:avLst/>
                    </a:prstGeom>
                    <a:noFill/>
                    <a:ln>
                      <a:noFill/>
                    </a:ln>
                  </pic:spPr>
                </pic:pic>
              </a:graphicData>
            </a:graphic>
          </wp:anchor>
        </w:drawing>
      </w:r>
    </w:p>
    <w:p>
      <w:pPr>
        <w:pStyle w:val="4"/>
      </w:pPr>
    </w:p>
    <w:p/>
    <w:p>
      <w:pPr>
        <w:pStyle w:val="2"/>
      </w:pPr>
    </w:p>
    <w:p>
      <w:pPr>
        <w:pStyle w:val="4"/>
      </w:pPr>
    </w:p>
    <w:p/>
    <w:p>
      <w:pPr>
        <w:pStyle w:val="2"/>
      </w:pPr>
    </w:p>
    <w:p>
      <w:pPr>
        <w:pStyle w:val="4"/>
      </w:pPr>
    </w:p>
    <w:p/>
    <w:p>
      <w:pPr>
        <w:pStyle w:val="2"/>
      </w:pPr>
    </w:p>
    <w:p>
      <w:pPr>
        <w:pStyle w:val="4"/>
      </w:pPr>
    </w:p>
    <w:p/>
    <w:p>
      <w:pPr>
        <w:pStyle w:val="2"/>
      </w:pPr>
    </w:p>
    <w:p>
      <w:pPr>
        <w:pStyle w:val="4"/>
      </w:pPr>
    </w:p>
    <w:p>
      <w:pPr>
        <w:pStyle w:val="2"/>
        <w:ind w:left="0" w:leftChars="0" w:firstLine="0" w:firstLineChars="0"/>
      </w:pPr>
    </w:p>
    <w:p>
      <w:pPr>
        <w:pStyle w:val="4"/>
      </w:pPr>
    </w:p>
    <w:p/>
    <w:p>
      <w:pPr>
        <w:pStyle w:val="2"/>
      </w:pPr>
    </w:p>
    <w:p>
      <w:pPr>
        <w:pStyle w:val="4"/>
      </w:pPr>
    </w:p>
    <w:p>
      <w:r>
        <w:drawing>
          <wp:anchor distT="0" distB="0" distL="114300" distR="114300" simplePos="0" relativeHeight="251665408" behindDoc="0" locked="0" layoutInCell="1" allowOverlap="1">
            <wp:simplePos x="0" y="0"/>
            <wp:positionH relativeFrom="column">
              <wp:posOffset>0</wp:posOffset>
            </wp:positionH>
            <wp:positionV relativeFrom="paragraph">
              <wp:posOffset>91440</wp:posOffset>
            </wp:positionV>
            <wp:extent cx="5264785" cy="2239645"/>
            <wp:effectExtent l="0" t="0" r="12065" b="8255"/>
            <wp:wrapSquare wrapText="bothSides"/>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5264785" cy="2239645"/>
                    </a:xfrm>
                    <a:prstGeom prst="rect">
                      <a:avLst/>
                    </a:prstGeom>
                    <a:noFill/>
                    <a:ln>
                      <a:noFill/>
                    </a:ln>
                  </pic:spPr>
                </pic:pic>
              </a:graphicData>
            </a:graphic>
          </wp:anchor>
        </w:drawing>
      </w:r>
    </w:p>
    <w:p>
      <w:pPr>
        <w:pStyle w:val="2"/>
      </w:pPr>
    </w:p>
    <w:p>
      <w:pPr>
        <w:pStyle w:val="4"/>
      </w:pPr>
    </w:p>
    <w:p/>
    <w:p>
      <w:pPr>
        <w:pStyle w:val="2"/>
      </w:pPr>
    </w:p>
    <w:p>
      <w:pPr>
        <w:pStyle w:val="4"/>
      </w:pPr>
    </w:p>
    <w:p/>
    <w:p>
      <w:pPr>
        <w:pStyle w:val="2"/>
      </w:pPr>
    </w:p>
    <w:p>
      <w:pPr>
        <w:pStyle w:val="4"/>
      </w:pPr>
    </w:p>
    <w:p>
      <w:pPr>
        <w:rPr>
          <w:rFonts w:hint="eastAsia"/>
          <w:lang w:eastAsia="zh-CN"/>
        </w:rPr>
      </w:pPr>
    </w:p>
    <w:p>
      <w:pPr>
        <w:pStyle w:val="2"/>
        <w:rPr>
          <w:rFonts w:hint="eastAsia"/>
          <w:lang w:eastAsia="zh-CN"/>
        </w:rPr>
      </w:pPr>
    </w:p>
    <w:p>
      <w:pPr>
        <w:pStyle w:val="4"/>
        <w:rPr>
          <w:rFonts w:hint="eastAsia"/>
          <w:lang w:eastAsia="zh-CN"/>
        </w:rPr>
      </w:pPr>
    </w:p>
    <w:p>
      <w:pPr>
        <w:rPr>
          <w:rFonts w:hint="eastAsia"/>
          <w:lang w:eastAsia="zh-CN"/>
        </w:rPr>
      </w:pPr>
    </w:p>
    <w:p>
      <w:pPr>
        <w:pStyle w:val="2"/>
        <w:ind w:left="0" w:leftChars="0" w:firstLine="0" w:firstLineChars="0"/>
        <w:rPr>
          <w:rFonts w:hint="eastAsia"/>
          <w:lang w:eastAsia="zh-CN"/>
        </w:rPr>
      </w:pPr>
    </w:p>
    <w:p>
      <w:pPr>
        <w:pStyle w:val="4"/>
        <w:rPr>
          <w:rFonts w:hint="eastAsia"/>
          <w:lang w:eastAsia="zh-CN"/>
        </w:rPr>
      </w:pPr>
    </w:p>
    <w:p>
      <w:pPr>
        <w:rPr>
          <w:rFonts w:hint="eastAsia"/>
          <w:lang w:eastAsia="zh-CN"/>
        </w:rPr>
      </w:pPr>
    </w:p>
    <w:p>
      <w:pPr>
        <w:pStyle w:val="2"/>
        <w:rPr>
          <w:rFonts w:hint="eastAsia"/>
          <w:lang w:eastAsia="zh-CN"/>
        </w:rPr>
      </w:pPr>
    </w:p>
    <w:p>
      <w:pPr>
        <w:pStyle w:val="4"/>
        <w:rPr>
          <w:rFonts w:hint="eastAsia"/>
          <w:lang w:eastAsia="zh-CN"/>
        </w:rPr>
      </w:pPr>
    </w:p>
    <w:p>
      <w:pPr>
        <w:rPr>
          <w:rFonts w:hint="eastAsia"/>
          <w:lang w:eastAsia="zh-CN"/>
        </w:rPr>
      </w:pPr>
    </w:p>
    <w:p>
      <w:pPr>
        <w:pStyle w:val="2"/>
        <w:rPr>
          <w:rFonts w:hint="eastAsia"/>
          <w:lang w:eastAsia="zh-CN"/>
        </w:rPr>
      </w:pPr>
    </w:p>
    <w:p>
      <w:pPr>
        <w:pStyle w:val="4"/>
        <w:ind w:left="0" w:leftChars="0" w:firstLine="0" w:firstLineChars="0"/>
        <w:rPr>
          <w:rFonts w:hint="eastAsia"/>
          <w:lang w:eastAsia="zh-CN"/>
        </w:rPr>
      </w:pPr>
      <w:r>
        <w:drawing>
          <wp:anchor distT="0" distB="0" distL="114300" distR="114300" simplePos="0" relativeHeight="251666432" behindDoc="0" locked="0" layoutInCell="1" allowOverlap="1">
            <wp:simplePos x="0" y="0"/>
            <wp:positionH relativeFrom="column">
              <wp:posOffset>0</wp:posOffset>
            </wp:positionH>
            <wp:positionV relativeFrom="paragraph">
              <wp:posOffset>43815</wp:posOffset>
            </wp:positionV>
            <wp:extent cx="5269865" cy="2207260"/>
            <wp:effectExtent l="0" t="0" r="6985" b="2540"/>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5269865" cy="2207260"/>
                    </a:xfrm>
                    <a:prstGeom prst="rect">
                      <a:avLst/>
                    </a:prstGeom>
                    <a:noFill/>
                    <a:ln>
                      <a:noFill/>
                    </a:ln>
                  </pic:spPr>
                </pic:pic>
              </a:graphicData>
            </a:graphic>
          </wp:anchor>
        </w:drawing>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051FB1"/>
    <w:multiLevelType w:val="singleLevel"/>
    <w:tmpl w:val="DC051FB1"/>
    <w:lvl w:ilvl="0" w:tentative="0">
      <w:start w:val="12"/>
      <w:numFmt w:val="decimal"/>
      <w:lvlText w:val="%1."/>
      <w:lvlJc w:val="left"/>
      <w:pPr>
        <w:tabs>
          <w:tab w:val="left" w:pos="312"/>
        </w:tabs>
      </w:p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abstractNum w:abstractNumId="2">
    <w:nsid w:val="5C583879"/>
    <w:multiLevelType w:val="singleLevel"/>
    <w:tmpl w:val="5C583879"/>
    <w:lvl w:ilvl="0" w:tentative="0">
      <w:start w:val="4"/>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4MzNkM2M4NmM1YzU2Mjg3NDEzNjFhMDI1MDFhZjEifQ=="/>
    <w:docVar w:name="KSO_WPS_MARK_KEY" w:val="41ee2a61-2d54-4f93-83be-afdb9a40d732"/>
  </w:docVars>
  <w:rsids>
    <w:rsidRoot w:val="00172A27"/>
    <w:rsid w:val="00213C59"/>
    <w:rsid w:val="003210CE"/>
    <w:rsid w:val="00B70D59"/>
    <w:rsid w:val="00C95302"/>
    <w:rsid w:val="00F52A8D"/>
    <w:rsid w:val="01352141"/>
    <w:rsid w:val="015974C0"/>
    <w:rsid w:val="019404F8"/>
    <w:rsid w:val="01CA417A"/>
    <w:rsid w:val="01EA0AF6"/>
    <w:rsid w:val="02BD3108"/>
    <w:rsid w:val="02BF16C2"/>
    <w:rsid w:val="02C21ABC"/>
    <w:rsid w:val="02CC3AD0"/>
    <w:rsid w:val="02E70078"/>
    <w:rsid w:val="02F73D26"/>
    <w:rsid w:val="034D4FEF"/>
    <w:rsid w:val="035D1785"/>
    <w:rsid w:val="039F47CE"/>
    <w:rsid w:val="03C9092D"/>
    <w:rsid w:val="03E05CE8"/>
    <w:rsid w:val="03F973EE"/>
    <w:rsid w:val="041476CE"/>
    <w:rsid w:val="043E5B56"/>
    <w:rsid w:val="045D1075"/>
    <w:rsid w:val="0486237A"/>
    <w:rsid w:val="04A14597"/>
    <w:rsid w:val="04C04386"/>
    <w:rsid w:val="04C133B2"/>
    <w:rsid w:val="04D30B37"/>
    <w:rsid w:val="04FA68C4"/>
    <w:rsid w:val="053F5AE6"/>
    <w:rsid w:val="055102D5"/>
    <w:rsid w:val="0563090D"/>
    <w:rsid w:val="057C0B0F"/>
    <w:rsid w:val="05CC64B2"/>
    <w:rsid w:val="05EB7D65"/>
    <w:rsid w:val="05EF4B48"/>
    <w:rsid w:val="05F76ECA"/>
    <w:rsid w:val="06792773"/>
    <w:rsid w:val="06FC4B75"/>
    <w:rsid w:val="07093795"/>
    <w:rsid w:val="071B64D2"/>
    <w:rsid w:val="07581AA9"/>
    <w:rsid w:val="07804730"/>
    <w:rsid w:val="079052BE"/>
    <w:rsid w:val="07C75183"/>
    <w:rsid w:val="08145C21"/>
    <w:rsid w:val="08157932"/>
    <w:rsid w:val="08422688"/>
    <w:rsid w:val="085854ED"/>
    <w:rsid w:val="08731017"/>
    <w:rsid w:val="0879188F"/>
    <w:rsid w:val="087B5396"/>
    <w:rsid w:val="08A0354D"/>
    <w:rsid w:val="08AE29B6"/>
    <w:rsid w:val="08AF79C5"/>
    <w:rsid w:val="08CD4C49"/>
    <w:rsid w:val="08FB2C0B"/>
    <w:rsid w:val="09114954"/>
    <w:rsid w:val="094D642A"/>
    <w:rsid w:val="095A5B83"/>
    <w:rsid w:val="096466E3"/>
    <w:rsid w:val="0968304D"/>
    <w:rsid w:val="097924AD"/>
    <w:rsid w:val="099A21EB"/>
    <w:rsid w:val="099C6308"/>
    <w:rsid w:val="09AF3D17"/>
    <w:rsid w:val="09C34CD3"/>
    <w:rsid w:val="09F83408"/>
    <w:rsid w:val="0A0F696E"/>
    <w:rsid w:val="0A7809B7"/>
    <w:rsid w:val="0A7B4867"/>
    <w:rsid w:val="0A840954"/>
    <w:rsid w:val="0A9928ED"/>
    <w:rsid w:val="0B36330D"/>
    <w:rsid w:val="0B61769D"/>
    <w:rsid w:val="0B8C3ECC"/>
    <w:rsid w:val="0B9C639D"/>
    <w:rsid w:val="0BB052B2"/>
    <w:rsid w:val="0BD33FFC"/>
    <w:rsid w:val="0BE97AC1"/>
    <w:rsid w:val="0BED7182"/>
    <w:rsid w:val="0C1419C6"/>
    <w:rsid w:val="0C1C4780"/>
    <w:rsid w:val="0C3613A3"/>
    <w:rsid w:val="0C5E519C"/>
    <w:rsid w:val="0C635DFE"/>
    <w:rsid w:val="0C7227A7"/>
    <w:rsid w:val="0CA06260"/>
    <w:rsid w:val="0CA52EE8"/>
    <w:rsid w:val="0CBD6988"/>
    <w:rsid w:val="0CD208AC"/>
    <w:rsid w:val="0CDF4D1D"/>
    <w:rsid w:val="0CF31242"/>
    <w:rsid w:val="0D4903E8"/>
    <w:rsid w:val="0D7A4A46"/>
    <w:rsid w:val="0D8817C7"/>
    <w:rsid w:val="0DA54530"/>
    <w:rsid w:val="0DE92AD9"/>
    <w:rsid w:val="0E1164F3"/>
    <w:rsid w:val="0E427BB8"/>
    <w:rsid w:val="0E640559"/>
    <w:rsid w:val="0EC248F6"/>
    <w:rsid w:val="0F1113DA"/>
    <w:rsid w:val="0F2C6214"/>
    <w:rsid w:val="0F78534A"/>
    <w:rsid w:val="0F89358A"/>
    <w:rsid w:val="0F8C6D51"/>
    <w:rsid w:val="0FC62292"/>
    <w:rsid w:val="105B0B5E"/>
    <w:rsid w:val="10C1473A"/>
    <w:rsid w:val="10F62635"/>
    <w:rsid w:val="112E58D0"/>
    <w:rsid w:val="11731CAC"/>
    <w:rsid w:val="11816503"/>
    <w:rsid w:val="119500A0"/>
    <w:rsid w:val="11C0733B"/>
    <w:rsid w:val="11D50D17"/>
    <w:rsid w:val="11E34C4D"/>
    <w:rsid w:val="11EC3A38"/>
    <w:rsid w:val="120E0809"/>
    <w:rsid w:val="12504C51"/>
    <w:rsid w:val="126161D4"/>
    <w:rsid w:val="127F665A"/>
    <w:rsid w:val="12BE7183"/>
    <w:rsid w:val="12D56592"/>
    <w:rsid w:val="12F7068C"/>
    <w:rsid w:val="12FE6E2A"/>
    <w:rsid w:val="13165211"/>
    <w:rsid w:val="137659F7"/>
    <w:rsid w:val="137D7F7F"/>
    <w:rsid w:val="13BC0EB8"/>
    <w:rsid w:val="14207DC0"/>
    <w:rsid w:val="14851052"/>
    <w:rsid w:val="14885E5A"/>
    <w:rsid w:val="148D32B1"/>
    <w:rsid w:val="14B932DA"/>
    <w:rsid w:val="14D42762"/>
    <w:rsid w:val="150A66AF"/>
    <w:rsid w:val="154C1139"/>
    <w:rsid w:val="155A1735"/>
    <w:rsid w:val="157E55BA"/>
    <w:rsid w:val="158C5B77"/>
    <w:rsid w:val="15EC04AB"/>
    <w:rsid w:val="15FD6214"/>
    <w:rsid w:val="15FF261B"/>
    <w:rsid w:val="160833F9"/>
    <w:rsid w:val="160D1149"/>
    <w:rsid w:val="162A3E25"/>
    <w:rsid w:val="163563C0"/>
    <w:rsid w:val="164315EF"/>
    <w:rsid w:val="16557DFE"/>
    <w:rsid w:val="167268FB"/>
    <w:rsid w:val="1679746E"/>
    <w:rsid w:val="16C64858"/>
    <w:rsid w:val="16D50C50"/>
    <w:rsid w:val="16E120E1"/>
    <w:rsid w:val="171C091C"/>
    <w:rsid w:val="172C5003"/>
    <w:rsid w:val="17385A05"/>
    <w:rsid w:val="173B3901"/>
    <w:rsid w:val="176747F9"/>
    <w:rsid w:val="17954A6E"/>
    <w:rsid w:val="179B5993"/>
    <w:rsid w:val="17D631C0"/>
    <w:rsid w:val="180059E9"/>
    <w:rsid w:val="18083232"/>
    <w:rsid w:val="180D5CE2"/>
    <w:rsid w:val="184510FD"/>
    <w:rsid w:val="18543F17"/>
    <w:rsid w:val="18581E27"/>
    <w:rsid w:val="186E3B58"/>
    <w:rsid w:val="187D60B5"/>
    <w:rsid w:val="18AF45A5"/>
    <w:rsid w:val="190648B0"/>
    <w:rsid w:val="19071D6C"/>
    <w:rsid w:val="19106165"/>
    <w:rsid w:val="19437C50"/>
    <w:rsid w:val="195B1BCF"/>
    <w:rsid w:val="1982655E"/>
    <w:rsid w:val="19AB7399"/>
    <w:rsid w:val="19D26CD4"/>
    <w:rsid w:val="19E60D19"/>
    <w:rsid w:val="19FD1EFF"/>
    <w:rsid w:val="1A3E3450"/>
    <w:rsid w:val="1AB76114"/>
    <w:rsid w:val="1AD807E5"/>
    <w:rsid w:val="1B39345B"/>
    <w:rsid w:val="1B666609"/>
    <w:rsid w:val="1BC81072"/>
    <w:rsid w:val="1BD45C69"/>
    <w:rsid w:val="1BF9747E"/>
    <w:rsid w:val="1BFB2A1F"/>
    <w:rsid w:val="1BFF28F8"/>
    <w:rsid w:val="1C015D4A"/>
    <w:rsid w:val="1C081D81"/>
    <w:rsid w:val="1C290ED5"/>
    <w:rsid w:val="1C317E4F"/>
    <w:rsid w:val="1C472464"/>
    <w:rsid w:val="1C7F665B"/>
    <w:rsid w:val="1CBB73E7"/>
    <w:rsid w:val="1CBF5FD1"/>
    <w:rsid w:val="1CD37CCF"/>
    <w:rsid w:val="1D22799A"/>
    <w:rsid w:val="1D2E1FD2"/>
    <w:rsid w:val="1D5C1A72"/>
    <w:rsid w:val="1DAF458D"/>
    <w:rsid w:val="1DCD2970"/>
    <w:rsid w:val="1E086ACE"/>
    <w:rsid w:val="1E372550"/>
    <w:rsid w:val="1E62130A"/>
    <w:rsid w:val="1E97358B"/>
    <w:rsid w:val="1E9903EE"/>
    <w:rsid w:val="1EAA4A5F"/>
    <w:rsid w:val="1EE869A7"/>
    <w:rsid w:val="1F074929"/>
    <w:rsid w:val="1FA15E62"/>
    <w:rsid w:val="1FE43FA1"/>
    <w:rsid w:val="1FEC0F18"/>
    <w:rsid w:val="1FED69B6"/>
    <w:rsid w:val="201653AD"/>
    <w:rsid w:val="2032152D"/>
    <w:rsid w:val="2064678E"/>
    <w:rsid w:val="20BD6CCC"/>
    <w:rsid w:val="20DC1AB9"/>
    <w:rsid w:val="20DD111C"/>
    <w:rsid w:val="20DD6197"/>
    <w:rsid w:val="212631E0"/>
    <w:rsid w:val="212E1977"/>
    <w:rsid w:val="215739BE"/>
    <w:rsid w:val="21676C37"/>
    <w:rsid w:val="217D46AD"/>
    <w:rsid w:val="21815F4B"/>
    <w:rsid w:val="21A53757"/>
    <w:rsid w:val="21B2162D"/>
    <w:rsid w:val="21C30E58"/>
    <w:rsid w:val="21C907E3"/>
    <w:rsid w:val="21D73DBD"/>
    <w:rsid w:val="221236C6"/>
    <w:rsid w:val="221654F5"/>
    <w:rsid w:val="225F0A26"/>
    <w:rsid w:val="22623FCE"/>
    <w:rsid w:val="228C4BA7"/>
    <w:rsid w:val="2290708E"/>
    <w:rsid w:val="22933F7A"/>
    <w:rsid w:val="22D7662C"/>
    <w:rsid w:val="22E06CA1"/>
    <w:rsid w:val="232C19F6"/>
    <w:rsid w:val="23326B7F"/>
    <w:rsid w:val="23337719"/>
    <w:rsid w:val="2380045B"/>
    <w:rsid w:val="23BC04D2"/>
    <w:rsid w:val="23D02D6C"/>
    <w:rsid w:val="23EF1892"/>
    <w:rsid w:val="243F6E2D"/>
    <w:rsid w:val="2483647E"/>
    <w:rsid w:val="24A32D55"/>
    <w:rsid w:val="24B228BF"/>
    <w:rsid w:val="24C77A38"/>
    <w:rsid w:val="24F5112A"/>
    <w:rsid w:val="250D0BC3"/>
    <w:rsid w:val="25292727"/>
    <w:rsid w:val="252E5CA9"/>
    <w:rsid w:val="255312AB"/>
    <w:rsid w:val="256F7692"/>
    <w:rsid w:val="25754019"/>
    <w:rsid w:val="259C77F7"/>
    <w:rsid w:val="25BA1A2C"/>
    <w:rsid w:val="25BA2154"/>
    <w:rsid w:val="25C8773F"/>
    <w:rsid w:val="261F77A8"/>
    <w:rsid w:val="264A7253"/>
    <w:rsid w:val="267F2DE7"/>
    <w:rsid w:val="2689058F"/>
    <w:rsid w:val="26C2328E"/>
    <w:rsid w:val="26F0170C"/>
    <w:rsid w:val="26F86CAF"/>
    <w:rsid w:val="27201D62"/>
    <w:rsid w:val="27286E73"/>
    <w:rsid w:val="27637EA1"/>
    <w:rsid w:val="27CF2642"/>
    <w:rsid w:val="27D019DA"/>
    <w:rsid w:val="27E777F5"/>
    <w:rsid w:val="27EA1D4C"/>
    <w:rsid w:val="27EA2E41"/>
    <w:rsid w:val="282459E2"/>
    <w:rsid w:val="28292667"/>
    <w:rsid w:val="283A7FE5"/>
    <w:rsid w:val="285F51FF"/>
    <w:rsid w:val="28C05C21"/>
    <w:rsid w:val="28CF274C"/>
    <w:rsid w:val="28DF2665"/>
    <w:rsid w:val="28E23C58"/>
    <w:rsid w:val="29072599"/>
    <w:rsid w:val="291029F3"/>
    <w:rsid w:val="2939690E"/>
    <w:rsid w:val="29CB58F0"/>
    <w:rsid w:val="29DE41AC"/>
    <w:rsid w:val="29F34C48"/>
    <w:rsid w:val="2A053397"/>
    <w:rsid w:val="2A145E96"/>
    <w:rsid w:val="2A5D2714"/>
    <w:rsid w:val="2A84583E"/>
    <w:rsid w:val="2A994305"/>
    <w:rsid w:val="2AAB2C02"/>
    <w:rsid w:val="2AE80DE9"/>
    <w:rsid w:val="2AF5378F"/>
    <w:rsid w:val="2B4F0E68"/>
    <w:rsid w:val="2B597F39"/>
    <w:rsid w:val="2B9E11D6"/>
    <w:rsid w:val="2BB94DBF"/>
    <w:rsid w:val="2BDE3DD5"/>
    <w:rsid w:val="2C01206E"/>
    <w:rsid w:val="2C6F314E"/>
    <w:rsid w:val="2CAF474A"/>
    <w:rsid w:val="2CC206BE"/>
    <w:rsid w:val="2CE51A84"/>
    <w:rsid w:val="2CF14E09"/>
    <w:rsid w:val="2D1136DF"/>
    <w:rsid w:val="2D20606D"/>
    <w:rsid w:val="2D951956"/>
    <w:rsid w:val="2DB87198"/>
    <w:rsid w:val="2DB93C54"/>
    <w:rsid w:val="2E3B34E6"/>
    <w:rsid w:val="2E3D144C"/>
    <w:rsid w:val="2E535D13"/>
    <w:rsid w:val="2E884DBD"/>
    <w:rsid w:val="2E891204"/>
    <w:rsid w:val="2E894691"/>
    <w:rsid w:val="2E9D4FA1"/>
    <w:rsid w:val="2F0153A5"/>
    <w:rsid w:val="2F154618"/>
    <w:rsid w:val="2F1C59A0"/>
    <w:rsid w:val="2F3F0A28"/>
    <w:rsid w:val="2F8F1030"/>
    <w:rsid w:val="2FBF7029"/>
    <w:rsid w:val="2FD0187F"/>
    <w:rsid w:val="2FD25272"/>
    <w:rsid w:val="2FD27414"/>
    <w:rsid w:val="2FE3244A"/>
    <w:rsid w:val="2FFE4BB0"/>
    <w:rsid w:val="30083B9B"/>
    <w:rsid w:val="300E7B60"/>
    <w:rsid w:val="300F6E18"/>
    <w:rsid w:val="30191A45"/>
    <w:rsid w:val="30862F5F"/>
    <w:rsid w:val="31030FD0"/>
    <w:rsid w:val="314029C9"/>
    <w:rsid w:val="31857392"/>
    <w:rsid w:val="31954E7C"/>
    <w:rsid w:val="31A666DD"/>
    <w:rsid w:val="31C63837"/>
    <w:rsid w:val="31C82E39"/>
    <w:rsid w:val="321D78BF"/>
    <w:rsid w:val="32601BAD"/>
    <w:rsid w:val="329F6389"/>
    <w:rsid w:val="32DA195F"/>
    <w:rsid w:val="3389023A"/>
    <w:rsid w:val="33CB74FA"/>
    <w:rsid w:val="33CC574C"/>
    <w:rsid w:val="342A2472"/>
    <w:rsid w:val="343642F2"/>
    <w:rsid w:val="343F3010"/>
    <w:rsid w:val="345D0A00"/>
    <w:rsid w:val="34713BFD"/>
    <w:rsid w:val="34B07E28"/>
    <w:rsid w:val="34C13589"/>
    <w:rsid w:val="353369E3"/>
    <w:rsid w:val="356A3134"/>
    <w:rsid w:val="35E00D72"/>
    <w:rsid w:val="363E0C43"/>
    <w:rsid w:val="36512563"/>
    <w:rsid w:val="3695255D"/>
    <w:rsid w:val="36965B9D"/>
    <w:rsid w:val="36C549FD"/>
    <w:rsid w:val="37533A8E"/>
    <w:rsid w:val="378123A9"/>
    <w:rsid w:val="37A755DD"/>
    <w:rsid w:val="37E312B6"/>
    <w:rsid w:val="37F94FA0"/>
    <w:rsid w:val="380D3381"/>
    <w:rsid w:val="38115B1F"/>
    <w:rsid w:val="381A45AC"/>
    <w:rsid w:val="383C4522"/>
    <w:rsid w:val="38431D54"/>
    <w:rsid w:val="385E3AC3"/>
    <w:rsid w:val="387D6B9E"/>
    <w:rsid w:val="38952DA7"/>
    <w:rsid w:val="389B75E6"/>
    <w:rsid w:val="38B75FF0"/>
    <w:rsid w:val="38D45016"/>
    <w:rsid w:val="38D90432"/>
    <w:rsid w:val="38EA6674"/>
    <w:rsid w:val="38FB0DCF"/>
    <w:rsid w:val="390D4B29"/>
    <w:rsid w:val="3914510A"/>
    <w:rsid w:val="3926770B"/>
    <w:rsid w:val="392E1474"/>
    <w:rsid w:val="39342EFF"/>
    <w:rsid w:val="394B0220"/>
    <w:rsid w:val="3967463A"/>
    <w:rsid w:val="398D3668"/>
    <w:rsid w:val="39DA0497"/>
    <w:rsid w:val="3A893816"/>
    <w:rsid w:val="3A893B6D"/>
    <w:rsid w:val="3A8A3C6B"/>
    <w:rsid w:val="3AD1763A"/>
    <w:rsid w:val="3B2001D5"/>
    <w:rsid w:val="3B3D2A8B"/>
    <w:rsid w:val="3B6716E3"/>
    <w:rsid w:val="3B6C6B2D"/>
    <w:rsid w:val="3B725DC8"/>
    <w:rsid w:val="3BB54D17"/>
    <w:rsid w:val="3BE43848"/>
    <w:rsid w:val="3C177779"/>
    <w:rsid w:val="3C242659"/>
    <w:rsid w:val="3C2974B3"/>
    <w:rsid w:val="3C326368"/>
    <w:rsid w:val="3C4934F9"/>
    <w:rsid w:val="3C5C33E5"/>
    <w:rsid w:val="3C622F6D"/>
    <w:rsid w:val="3C623D29"/>
    <w:rsid w:val="3C96719C"/>
    <w:rsid w:val="3CA72BE8"/>
    <w:rsid w:val="3CAB7EC8"/>
    <w:rsid w:val="3CF37F8C"/>
    <w:rsid w:val="3D137554"/>
    <w:rsid w:val="3D5275AC"/>
    <w:rsid w:val="3D5B369C"/>
    <w:rsid w:val="3D944466"/>
    <w:rsid w:val="3DCC2473"/>
    <w:rsid w:val="3DEB0883"/>
    <w:rsid w:val="3E2527BF"/>
    <w:rsid w:val="3E731662"/>
    <w:rsid w:val="3E8168DD"/>
    <w:rsid w:val="3E903109"/>
    <w:rsid w:val="3EA7725F"/>
    <w:rsid w:val="3EB03713"/>
    <w:rsid w:val="3EB70DA6"/>
    <w:rsid w:val="3EBF1A11"/>
    <w:rsid w:val="3EC52607"/>
    <w:rsid w:val="3EEC6CEF"/>
    <w:rsid w:val="3EF67B4D"/>
    <w:rsid w:val="3F0C2DA8"/>
    <w:rsid w:val="3F183429"/>
    <w:rsid w:val="3F1E7580"/>
    <w:rsid w:val="3FB77A1D"/>
    <w:rsid w:val="3FDC3674"/>
    <w:rsid w:val="3FED7F8A"/>
    <w:rsid w:val="3FF973F7"/>
    <w:rsid w:val="40094AEF"/>
    <w:rsid w:val="405470BD"/>
    <w:rsid w:val="405E7986"/>
    <w:rsid w:val="40794A29"/>
    <w:rsid w:val="40834692"/>
    <w:rsid w:val="4084115C"/>
    <w:rsid w:val="40DE6ABE"/>
    <w:rsid w:val="40EB5B74"/>
    <w:rsid w:val="412C397A"/>
    <w:rsid w:val="41431AD5"/>
    <w:rsid w:val="414B3C0F"/>
    <w:rsid w:val="417C1CE7"/>
    <w:rsid w:val="41900018"/>
    <w:rsid w:val="41944406"/>
    <w:rsid w:val="41B82E6B"/>
    <w:rsid w:val="41C07625"/>
    <w:rsid w:val="41CE128F"/>
    <w:rsid w:val="41DA6F12"/>
    <w:rsid w:val="41DF6876"/>
    <w:rsid w:val="42171FB1"/>
    <w:rsid w:val="427E2307"/>
    <w:rsid w:val="429C6CEB"/>
    <w:rsid w:val="42B850ED"/>
    <w:rsid w:val="43144DEA"/>
    <w:rsid w:val="434E6957"/>
    <w:rsid w:val="43BA0E31"/>
    <w:rsid w:val="43C15147"/>
    <w:rsid w:val="43D10F9F"/>
    <w:rsid w:val="43E14DD2"/>
    <w:rsid w:val="43F800E9"/>
    <w:rsid w:val="442522DB"/>
    <w:rsid w:val="443A7E4B"/>
    <w:rsid w:val="447A6AFE"/>
    <w:rsid w:val="452F5B3A"/>
    <w:rsid w:val="453273D9"/>
    <w:rsid w:val="45363B56"/>
    <w:rsid w:val="454E7FD2"/>
    <w:rsid w:val="457E617A"/>
    <w:rsid w:val="4598122D"/>
    <w:rsid w:val="46061BDC"/>
    <w:rsid w:val="460A3017"/>
    <w:rsid w:val="4613454B"/>
    <w:rsid w:val="461404F8"/>
    <w:rsid w:val="46413018"/>
    <w:rsid w:val="464B7E04"/>
    <w:rsid w:val="4662784A"/>
    <w:rsid w:val="467A01C1"/>
    <w:rsid w:val="467F21AA"/>
    <w:rsid w:val="468041AA"/>
    <w:rsid w:val="468123C6"/>
    <w:rsid w:val="46827EEC"/>
    <w:rsid w:val="46853538"/>
    <w:rsid w:val="46901EEE"/>
    <w:rsid w:val="469C74D2"/>
    <w:rsid w:val="469E1A95"/>
    <w:rsid w:val="46C77804"/>
    <w:rsid w:val="46E626E4"/>
    <w:rsid w:val="46EC7118"/>
    <w:rsid w:val="473D0316"/>
    <w:rsid w:val="47445515"/>
    <w:rsid w:val="474B4782"/>
    <w:rsid w:val="474C39E8"/>
    <w:rsid w:val="47863A0C"/>
    <w:rsid w:val="478F466E"/>
    <w:rsid w:val="47D90D14"/>
    <w:rsid w:val="48387FB0"/>
    <w:rsid w:val="483A6114"/>
    <w:rsid w:val="484511D1"/>
    <w:rsid w:val="48580F04"/>
    <w:rsid w:val="486C49B0"/>
    <w:rsid w:val="488727DB"/>
    <w:rsid w:val="48B82268"/>
    <w:rsid w:val="48C354B3"/>
    <w:rsid w:val="491F7C74"/>
    <w:rsid w:val="493D58B5"/>
    <w:rsid w:val="494A7A04"/>
    <w:rsid w:val="494D3B66"/>
    <w:rsid w:val="495C4BD2"/>
    <w:rsid w:val="49706721"/>
    <w:rsid w:val="49B644BD"/>
    <w:rsid w:val="4A0A26D2"/>
    <w:rsid w:val="4A2019A5"/>
    <w:rsid w:val="4A241A0B"/>
    <w:rsid w:val="4A246B67"/>
    <w:rsid w:val="4A336EA7"/>
    <w:rsid w:val="4A403140"/>
    <w:rsid w:val="4A7B2875"/>
    <w:rsid w:val="4A934476"/>
    <w:rsid w:val="4AAA220A"/>
    <w:rsid w:val="4ACA3C0F"/>
    <w:rsid w:val="4AE12E67"/>
    <w:rsid w:val="4AF869CF"/>
    <w:rsid w:val="4AFC64BF"/>
    <w:rsid w:val="4B082667"/>
    <w:rsid w:val="4B091BB2"/>
    <w:rsid w:val="4B1C41F6"/>
    <w:rsid w:val="4B4C0111"/>
    <w:rsid w:val="4B8553A9"/>
    <w:rsid w:val="4BB604EE"/>
    <w:rsid w:val="4BCF2212"/>
    <w:rsid w:val="4BDB3730"/>
    <w:rsid w:val="4C0849EF"/>
    <w:rsid w:val="4C177328"/>
    <w:rsid w:val="4C200F7A"/>
    <w:rsid w:val="4C3D6D8F"/>
    <w:rsid w:val="4C4B512E"/>
    <w:rsid w:val="4C522B51"/>
    <w:rsid w:val="4C8C2717"/>
    <w:rsid w:val="4CA50A87"/>
    <w:rsid w:val="4CEE3180"/>
    <w:rsid w:val="4D0F4AF6"/>
    <w:rsid w:val="4D7A7B6F"/>
    <w:rsid w:val="4DA60964"/>
    <w:rsid w:val="4DAC584E"/>
    <w:rsid w:val="4DD47FB9"/>
    <w:rsid w:val="4DF94F37"/>
    <w:rsid w:val="4E0A1DD5"/>
    <w:rsid w:val="4E1C29D4"/>
    <w:rsid w:val="4E296E9F"/>
    <w:rsid w:val="4E3160E5"/>
    <w:rsid w:val="4E4D37AF"/>
    <w:rsid w:val="4E710F72"/>
    <w:rsid w:val="4E8C6496"/>
    <w:rsid w:val="4EA8070C"/>
    <w:rsid w:val="4EE31B05"/>
    <w:rsid w:val="4EFD18DE"/>
    <w:rsid w:val="4F144236"/>
    <w:rsid w:val="4F2E6E63"/>
    <w:rsid w:val="4F4026F2"/>
    <w:rsid w:val="4F663C87"/>
    <w:rsid w:val="4F6939F7"/>
    <w:rsid w:val="4F7E29A8"/>
    <w:rsid w:val="4F9E1FFC"/>
    <w:rsid w:val="4F9F1010"/>
    <w:rsid w:val="4FC41575"/>
    <w:rsid w:val="502C3E70"/>
    <w:rsid w:val="50307DAE"/>
    <w:rsid w:val="50447CC2"/>
    <w:rsid w:val="50473998"/>
    <w:rsid w:val="50616DC4"/>
    <w:rsid w:val="50717C4E"/>
    <w:rsid w:val="50874A7C"/>
    <w:rsid w:val="50895615"/>
    <w:rsid w:val="50895EE7"/>
    <w:rsid w:val="50921B9D"/>
    <w:rsid w:val="50B235C2"/>
    <w:rsid w:val="50B622A9"/>
    <w:rsid w:val="50D16158"/>
    <w:rsid w:val="50DB5F45"/>
    <w:rsid w:val="51025EB1"/>
    <w:rsid w:val="51114346"/>
    <w:rsid w:val="51141503"/>
    <w:rsid w:val="518D0ED5"/>
    <w:rsid w:val="518F22B8"/>
    <w:rsid w:val="51911120"/>
    <w:rsid w:val="51B7313F"/>
    <w:rsid w:val="51D07D5D"/>
    <w:rsid w:val="51D523F4"/>
    <w:rsid w:val="51F34009"/>
    <w:rsid w:val="52344790"/>
    <w:rsid w:val="5244661E"/>
    <w:rsid w:val="52552958"/>
    <w:rsid w:val="525C687F"/>
    <w:rsid w:val="52E70D13"/>
    <w:rsid w:val="52F647F7"/>
    <w:rsid w:val="52F92565"/>
    <w:rsid w:val="5316107A"/>
    <w:rsid w:val="5350175D"/>
    <w:rsid w:val="53605111"/>
    <w:rsid w:val="53965D16"/>
    <w:rsid w:val="53D03877"/>
    <w:rsid w:val="53D224B3"/>
    <w:rsid w:val="53F17C68"/>
    <w:rsid w:val="54021857"/>
    <w:rsid w:val="542F73CA"/>
    <w:rsid w:val="5430786D"/>
    <w:rsid w:val="545E3D46"/>
    <w:rsid w:val="54B41BB8"/>
    <w:rsid w:val="54BE47E5"/>
    <w:rsid w:val="54C811C0"/>
    <w:rsid w:val="54CD007A"/>
    <w:rsid w:val="54DA1593"/>
    <w:rsid w:val="554F7B33"/>
    <w:rsid w:val="556A442D"/>
    <w:rsid w:val="55821CB6"/>
    <w:rsid w:val="558C6490"/>
    <w:rsid w:val="55937A20"/>
    <w:rsid w:val="55C6621E"/>
    <w:rsid w:val="55DA564E"/>
    <w:rsid w:val="5604127D"/>
    <w:rsid w:val="56166703"/>
    <w:rsid w:val="56510474"/>
    <w:rsid w:val="56861525"/>
    <w:rsid w:val="56A93273"/>
    <w:rsid w:val="56BD550C"/>
    <w:rsid w:val="56E07045"/>
    <w:rsid w:val="56FF28AF"/>
    <w:rsid w:val="572D7A00"/>
    <w:rsid w:val="57540E7D"/>
    <w:rsid w:val="577B4878"/>
    <w:rsid w:val="579168FD"/>
    <w:rsid w:val="57926973"/>
    <w:rsid w:val="579E445A"/>
    <w:rsid w:val="58175352"/>
    <w:rsid w:val="581F2200"/>
    <w:rsid w:val="583059FA"/>
    <w:rsid w:val="584A0929"/>
    <w:rsid w:val="58586CFE"/>
    <w:rsid w:val="587E302A"/>
    <w:rsid w:val="58823613"/>
    <w:rsid w:val="58CD2491"/>
    <w:rsid w:val="590859EF"/>
    <w:rsid w:val="591B41B2"/>
    <w:rsid w:val="59254A26"/>
    <w:rsid w:val="5926000E"/>
    <w:rsid w:val="592D4812"/>
    <w:rsid w:val="59326325"/>
    <w:rsid w:val="593723CD"/>
    <w:rsid w:val="593C3F2A"/>
    <w:rsid w:val="595C505B"/>
    <w:rsid w:val="595E55C3"/>
    <w:rsid w:val="596E7E20"/>
    <w:rsid w:val="598A738C"/>
    <w:rsid w:val="59B9557B"/>
    <w:rsid w:val="5A0507C0"/>
    <w:rsid w:val="5A0A4028"/>
    <w:rsid w:val="5A1B1536"/>
    <w:rsid w:val="5A60780B"/>
    <w:rsid w:val="5A6E45B7"/>
    <w:rsid w:val="5A9102A6"/>
    <w:rsid w:val="5A987886"/>
    <w:rsid w:val="5A9B1124"/>
    <w:rsid w:val="5AB34579"/>
    <w:rsid w:val="5AFC6609"/>
    <w:rsid w:val="5B113480"/>
    <w:rsid w:val="5B38668D"/>
    <w:rsid w:val="5B8D2470"/>
    <w:rsid w:val="5B8F237F"/>
    <w:rsid w:val="5BD40D92"/>
    <w:rsid w:val="5BD456CE"/>
    <w:rsid w:val="5C09099C"/>
    <w:rsid w:val="5C0D1F49"/>
    <w:rsid w:val="5C555FC8"/>
    <w:rsid w:val="5CA51260"/>
    <w:rsid w:val="5CBB0CE2"/>
    <w:rsid w:val="5CC17177"/>
    <w:rsid w:val="5CF306BC"/>
    <w:rsid w:val="5D303F73"/>
    <w:rsid w:val="5D3F3D64"/>
    <w:rsid w:val="5D437F7D"/>
    <w:rsid w:val="5D4F46B1"/>
    <w:rsid w:val="5D577585"/>
    <w:rsid w:val="5D833043"/>
    <w:rsid w:val="5DD92690"/>
    <w:rsid w:val="5DDB1CFD"/>
    <w:rsid w:val="5E48511F"/>
    <w:rsid w:val="5E6F4DA2"/>
    <w:rsid w:val="5E710B1A"/>
    <w:rsid w:val="5E7E6D93"/>
    <w:rsid w:val="5ED44800"/>
    <w:rsid w:val="5F04032C"/>
    <w:rsid w:val="5F087024"/>
    <w:rsid w:val="5F350BDE"/>
    <w:rsid w:val="5F3C1128"/>
    <w:rsid w:val="5F61632C"/>
    <w:rsid w:val="5F6E1A70"/>
    <w:rsid w:val="5F702680"/>
    <w:rsid w:val="5FA17648"/>
    <w:rsid w:val="5FB871F9"/>
    <w:rsid w:val="5FDF3EB5"/>
    <w:rsid w:val="5FE570CA"/>
    <w:rsid w:val="5FE705CB"/>
    <w:rsid w:val="5FEC48FC"/>
    <w:rsid w:val="6017769A"/>
    <w:rsid w:val="603D5080"/>
    <w:rsid w:val="60566219"/>
    <w:rsid w:val="60C60750"/>
    <w:rsid w:val="60D0261B"/>
    <w:rsid w:val="60FB1499"/>
    <w:rsid w:val="618E3791"/>
    <w:rsid w:val="61947DCA"/>
    <w:rsid w:val="619816AA"/>
    <w:rsid w:val="61A46A97"/>
    <w:rsid w:val="61D1382F"/>
    <w:rsid w:val="61E213FA"/>
    <w:rsid w:val="61F114A2"/>
    <w:rsid w:val="62512BB4"/>
    <w:rsid w:val="625D7D1A"/>
    <w:rsid w:val="62890C71"/>
    <w:rsid w:val="62AA0157"/>
    <w:rsid w:val="62DD7D21"/>
    <w:rsid w:val="630B32EB"/>
    <w:rsid w:val="63135D10"/>
    <w:rsid w:val="631F0B45"/>
    <w:rsid w:val="637D586B"/>
    <w:rsid w:val="63863129"/>
    <w:rsid w:val="6388493C"/>
    <w:rsid w:val="63A5560B"/>
    <w:rsid w:val="63CE655D"/>
    <w:rsid w:val="63E149ED"/>
    <w:rsid w:val="63E9091F"/>
    <w:rsid w:val="63F0603D"/>
    <w:rsid w:val="641E7562"/>
    <w:rsid w:val="64322AF9"/>
    <w:rsid w:val="6484631E"/>
    <w:rsid w:val="64D6010D"/>
    <w:rsid w:val="64D82665"/>
    <w:rsid w:val="64E47C96"/>
    <w:rsid w:val="64F85A0E"/>
    <w:rsid w:val="651E5741"/>
    <w:rsid w:val="654A737E"/>
    <w:rsid w:val="658A4877"/>
    <w:rsid w:val="65A00902"/>
    <w:rsid w:val="65AC6EDD"/>
    <w:rsid w:val="65D97752"/>
    <w:rsid w:val="65DE399B"/>
    <w:rsid w:val="65F26391"/>
    <w:rsid w:val="66085536"/>
    <w:rsid w:val="66105BF7"/>
    <w:rsid w:val="66150023"/>
    <w:rsid w:val="6628010D"/>
    <w:rsid w:val="66755B06"/>
    <w:rsid w:val="669B4528"/>
    <w:rsid w:val="66AD290B"/>
    <w:rsid w:val="66BD0D3B"/>
    <w:rsid w:val="66CC12D7"/>
    <w:rsid w:val="6708580E"/>
    <w:rsid w:val="67134CEF"/>
    <w:rsid w:val="671F1ABD"/>
    <w:rsid w:val="6732696D"/>
    <w:rsid w:val="67521A59"/>
    <w:rsid w:val="67AC0D65"/>
    <w:rsid w:val="67AE75B9"/>
    <w:rsid w:val="67B101D9"/>
    <w:rsid w:val="67C304AB"/>
    <w:rsid w:val="683F0658"/>
    <w:rsid w:val="689C6793"/>
    <w:rsid w:val="68D67EF7"/>
    <w:rsid w:val="68DB0208"/>
    <w:rsid w:val="68DB550E"/>
    <w:rsid w:val="68DE2A5F"/>
    <w:rsid w:val="68E41B00"/>
    <w:rsid w:val="68EC78DA"/>
    <w:rsid w:val="68FB170C"/>
    <w:rsid w:val="69166546"/>
    <w:rsid w:val="691B3D98"/>
    <w:rsid w:val="693748F0"/>
    <w:rsid w:val="69800413"/>
    <w:rsid w:val="69846A0E"/>
    <w:rsid w:val="69AD798C"/>
    <w:rsid w:val="69B12712"/>
    <w:rsid w:val="69D005C0"/>
    <w:rsid w:val="69D80B96"/>
    <w:rsid w:val="69D87C22"/>
    <w:rsid w:val="69DC778F"/>
    <w:rsid w:val="69E2467A"/>
    <w:rsid w:val="6A492839"/>
    <w:rsid w:val="6A7769B3"/>
    <w:rsid w:val="6A8B2B69"/>
    <w:rsid w:val="6AE2008E"/>
    <w:rsid w:val="6B4C26F3"/>
    <w:rsid w:val="6B68175F"/>
    <w:rsid w:val="6BFD799F"/>
    <w:rsid w:val="6C4A2E5A"/>
    <w:rsid w:val="6C8138D0"/>
    <w:rsid w:val="6C9139FC"/>
    <w:rsid w:val="6C944351"/>
    <w:rsid w:val="6CEF0725"/>
    <w:rsid w:val="6D050DAB"/>
    <w:rsid w:val="6D413DAD"/>
    <w:rsid w:val="6D4B2604"/>
    <w:rsid w:val="6D8030E4"/>
    <w:rsid w:val="6D8C62C8"/>
    <w:rsid w:val="6D934609"/>
    <w:rsid w:val="6DB620A5"/>
    <w:rsid w:val="6DF94E66"/>
    <w:rsid w:val="6E005A16"/>
    <w:rsid w:val="6E0E35C4"/>
    <w:rsid w:val="6E0F7A08"/>
    <w:rsid w:val="6E3947F5"/>
    <w:rsid w:val="6E5D6DBC"/>
    <w:rsid w:val="6E6B0521"/>
    <w:rsid w:val="6E9C74ED"/>
    <w:rsid w:val="6EB72579"/>
    <w:rsid w:val="6EBA5BC5"/>
    <w:rsid w:val="6ECC76A7"/>
    <w:rsid w:val="6EE60768"/>
    <w:rsid w:val="6EF25498"/>
    <w:rsid w:val="6EF72976"/>
    <w:rsid w:val="6EF87AC3"/>
    <w:rsid w:val="6F6B5112"/>
    <w:rsid w:val="6F795A80"/>
    <w:rsid w:val="6F7C1D2E"/>
    <w:rsid w:val="6F8E0407"/>
    <w:rsid w:val="6FB645DF"/>
    <w:rsid w:val="6FC36CFC"/>
    <w:rsid w:val="6FD20CED"/>
    <w:rsid w:val="6FDD069F"/>
    <w:rsid w:val="70090BB2"/>
    <w:rsid w:val="702B4D16"/>
    <w:rsid w:val="70AA6621"/>
    <w:rsid w:val="7111480F"/>
    <w:rsid w:val="71261F49"/>
    <w:rsid w:val="712E6956"/>
    <w:rsid w:val="71473612"/>
    <w:rsid w:val="71504F32"/>
    <w:rsid w:val="7152309F"/>
    <w:rsid w:val="718944AC"/>
    <w:rsid w:val="718F7F65"/>
    <w:rsid w:val="719B1CDE"/>
    <w:rsid w:val="71F35E57"/>
    <w:rsid w:val="727B234E"/>
    <w:rsid w:val="728152FD"/>
    <w:rsid w:val="72BF1EF1"/>
    <w:rsid w:val="72D068C7"/>
    <w:rsid w:val="72E2393D"/>
    <w:rsid w:val="72E42ED8"/>
    <w:rsid w:val="72EF1270"/>
    <w:rsid w:val="73114AE1"/>
    <w:rsid w:val="73115446"/>
    <w:rsid w:val="732301DD"/>
    <w:rsid w:val="7358775B"/>
    <w:rsid w:val="735F4CB9"/>
    <w:rsid w:val="73674C62"/>
    <w:rsid w:val="73845865"/>
    <w:rsid w:val="738D1AFA"/>
    <w:rsid w:val="739B6D9E"/>
    <w:rsid w:val="73BC1D76"/>
    <w:rsid w:val="73FB6630"/>
    <w:rsid w:val="743340ED"/>
    <w:rsid w:val="74363F40"/>
    <w:rsid w:val="744F5002"/>
    <w:rsid w:val="748D790E"/>
    <w:rsid w:val="749820CC"/>
    <w:rsid w:val="74BA12C2"/>
    <w:rsid w:val="74CE04EC"/>
    <w:rsid w:val="74E76DCD"/>
    <w:rsid w:val="751D7C0A"/>
    <w:rsid w:val="75502DDF"/>
    <w:rsid w:val="75581697"/>
    <w:rsid w:val="75722D56"/>
    <w:rsid w:val="75894543"/>
    <w:rsid w:val="759E6BE4"/>
    <w:rsid w:val="75DB5477"/>
    <w:rsid w:val="75FC6AC3"/>
    <w:rsid w:val="76053BCA"/>
    <w:rsid w:val="7616619B"/>
    <w:rsid w:val="764C265F"/>
    <w:rsid w:val="76660D7C"/>
    <w:rsid w:val="766C5968"/>
    <w:rsid w:val="768A0573"/>
    <w:rsid w:val="76BE0C8F"/>
    <w:rsid w:val="76CD53B2"/>
    <w:rsid w:val="770719AC"/>
    <w:rsid w:val="77495D38"/>
    <w:rsid w:val="776526CC"/>
    <w:rsid w:val="77A262E1"/>
    <w:rsid w:val="77B13C33"/>
    <w:rsid w:val="77ED6F44"/>
    <w:rsid w:val="77F45548"/>
    <w:rsid w:val="78202623"/>
    <w:rsid w:val="784E7CA6"/>
    <w:rsid w:val="78574801"/>
    <w:rsid w:val="7873527F"/>
    <w:rsid w:val="78964FAD"/>
    <w:rsid w:val="790A6425"/>
    <w:rsid w:val="790E2D96"/>
    <w:rsid w:val="79195AE1"/>
    <w:rsid w:val="791B54B2"/>
    <w:rsid w:val="791D122B"/>
    <w:rsid w:val="795A0A34"/>
    <w:rsid w:val="797339C3"/>
    <w:rsid w:val="79876FEC"/>
    <w:rsid w:val="79AA507D"/>
    <w:rsid w:val="79D57D57"/>
    <w:rsid w:val="79D815F5"/>
    <w:rsid w:val="79ED7EA0"/>
    <w:rsid w:val="79F00650"/>
    <w:rsid w:val="79F91C98"/>
    <w:rsid w:val="7A195E96"/>
    <w:rsid w:val="7A2E46F6"/>
    <w:rsid w:val="7A341388"/>
    <w:rsid w:val="7A6242BF"/>
    <w:rsid w:val="7A794513"/>
    <w:rsid w:val="7AB931D5"/>
    <w:rsid w:val="7AE952D2"/>
    <w:rsid w:val="7B2309F5"/>
    <w:rsid w:val="7B3665D4"/>
    <w:rsid w:val="7BA9149B"/>
    <w:rsid w:val="7C55517F"/>
    <w:rsid w:val="7C76322D"/>
    <w:rsid w:val="7C907F65"/>
    <w:rsid w:val="7C976D69"/>
    <w:rsid w:val="7C994925"/>
    <w:rsid w:val="7CD05E40"/>
    <w:rsid w:val="7CD752DA"/>
    <w:rsid w:val="7CDE40AB"/>
    <w:rsid w:val="7CE534CC"/>
    <w:rsid w:val="7CF057E2"/>
    <w:rsid w:val="7D1548B5"/>
    <w:rsid w:val="7D5947FB"/>
    <w:rsid w:val="7D7D673C"/>
    <w:rsid w:val="7D982228"/>
    <w:rsid w:val="7DF84014"/>
    <w:rsid w:val="7DFC4C5C"/>
    <w:rsid w:val="7E207949"/>
    <w:rsid w:val="7E3E175F"/>
    <w:rsid w:val="7E505BFE"/>
    <w:rsid w:val="7E5751DF"/>
    <w:rsid w:val="7E5C0A47"/>
    <w:rsid w:val="7E670C75"/>
    <w:rsid w:val="7EA01C8E"/>
    <w:rsid w:val="7ED20C98"/>
    <w:rsid w:val="7EE24272"/>
    <w:rsid w:val="7EEA6053"/>
    <w:rsid w:val="7EFA1D9D"/>
    <w:rsid w:val="7F487C04"/>
    <w:rsid w:val="7F4F0D08"/>
    <w:rsid w:val="7F7B4EFD"/>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100" w:firstLineChars="100"/>
    </w:pPr>
    <w:rPr>
      <w:rFonts w:ascii="Calibri" w:hAnsi="Calibri" w:eastAsia="微软雅黑" w:cs="Times New Roman"/>
    </w:rPr>
  </w:style>
  <w:style w:type="paragraph" w:styleId="3">
    <w:name w:val="Body Text"/>
    <w:basedOn w:val="1"/>
    <w:next w:val="2"/>
    <w:qFormat/>
    <w:uiPriority w:val="0"/>
    <w:pPr>
      <w:widowControl/>
      <w:spacing w:before="100" w:beforeAutospacing="1" w:after="100" w:afterAutospacing="1"/>
      <w:jc w:val="left"/>
    </w:pPr>
    <w:rPr>
      <w:rFonts w:ascii="宋体" w:hAnsi="宋体" w:cs="宋体"/>
      <w:kern w:val="0"/>
      <w:sz w:val="24"/>
    </w:rPr>
  </w:style>
  <w:style w:type="paragraph" w:styleId="4">
    <w:name w:val="index 7"/>
    <w:basedOn w:val="1"/>
    <w:next w:val="1"/>
    <w:qFormat/>
    <w:uiPriority w:val="0"/>
    <w:pPr>
      <w:ind w:left="2520"/>
    </w:pPr>
    <w:rPr>
      <w:rFonts w:ascii="Times New Roman" w:hAnsi="Times New Roman" w:eastAsia="宋体" w:cs="Times New Roman"/>
    </w:rPr>
  </w:style>
  <w:style w:type="paragraph" w:styleId="5">
    <w:name w:val="annotation text"/>
    <w:basedOn w:val="1"/>
    <w:qFormat/>
    <w:uiPriority w:val="0"/>
    <w:pPr>
      <w:jc w:val="left"/>
    </w:p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4">
    <w:name w:val="Strong"/>
    <w:basedOn w:val="13"/>
    <w:qFormat/>
    <w:uiPriority w:val="0"/>
    <w:rPr>
      <w:b/>
    </w:rPr>
  </w:style>
  <w:style w:type="paragraph" w:customStyle="1" w:styleId="15">
    <w:name w:val="WPSOffice手动目录 3"/>
    <w:qFormat/>
    <w:uiPriority w:val="0"/>
    <w:pPr>
      <w:ind w:leftChars="40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styleId="18">
    <w:name w:val="Quote"/>
    <w:basedOn w:val="1"/>
    <w:next w:val="1"/>
    <w:qFormat/>
    <w:uiPriority w:val="0"/>
    <w:pPr>
      <w:wordWrap w:val="0"/>
      <w:spacing w:before="200" w:after="160"/>
      <w:ind w:left="864" w:right="864"/>
      <w:jc w:val="center"/>
    </w:pPr>
    <w:rPr>
      <w:rFonts w:ascii="Times New Roman" w:hAnsi="Times New Roman" w:eastAsia="方正仿宋_GBK" w:cs="Times New Roman"/>
      <w:i/>
      <w:szCs w:val="20"/>
      <w:lang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7715</Words>
  <Characters>8478</Characters>
  <Lines>0</Lines>
  <Paragraphs>0</Paragraphs>
  <TotalTime>25</TotalTime>
  <ScaleCrop>false</ScaleCrop>
  <LinksUpToDate>false</LinksUpToDate>
  <CharactersWithSpaces>8488</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2024-12-02T03:38:14Z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