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lang w:val="en-US" w:eastAsia="zh-CN"/>
        </w:rPr>
        <w:t>库尔勒市</w:t>
      </w:r>
      <w:r>
        <w:rPr>
          <w:rFonts w:hint="eastAsia" w:ascii="黑体" w:hAnsi="黑体" w:eastAsia="黑体" w:cs="黑体"/>
          <w:b/>
          <w:color w:val="auto"/>
          <w:kern w:val="0"/>
          <w:sz w:val="48"/>
          <w:szCs w:val="48"/>
          <w:highlight w:val="none"/>
        </w:rPr>
        <w:t>部门单位整体支出绩效</w:t>
      </w:r>
    </w:p>
    <w:p>
      <w:pPr>
        <w:pageBreakBefore w:val="0"/>
        <w:kinsoku/>
        <w:wordWrap/>
        <w:overflowPunct/>
        <w:topLinePunct w:val="0"/>
        <w:autoSpaceDE/>
        <w:autoSpaceDN/>
        <w:bidi w:val="0"/>
        <w:adjustRightInd/>
        <w:spacing w:line="540" w:lineRule="exact"/>
        <w:ind w:firstLine="964" w:firstLineChars="200"/>
        <w:jc w:val="center"/>
        <w:textAlignment w:val="auto"/>
        <w:rPr>
          <w:rFonts w:hint="eastAsia" w:ascii="黑体" w:hAnsi="黑体" w:eastAsia="黑体" w:cs="黑体"/>
          <w:b/>
          <w:color w:val="auto"/>
          <w:kern w:val="0"/>
          <w:sz w:val="48"/>
          <w:szCs w:val="48"/>
          <w:highlight w:val="none"/>
        </w:rPr>
      </w:pPr>
      <w:r>
        <w:rPr>
          <w:rFonts w:hint="eastAsia" w:ascii="黑体" w:hAnsi="黑体" w:eastAsia="黑体" w:cs="黑体"/>
          <w:b/>
          <w:color w:val="auto"/>
          <w:kern w:val="0"/>
          <w:sz w:val="48"/>
          <w:szCs w:val="48"/>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720" w:firstLineChars="200"/>
        <w:jc w:val="center"/>
        <w:textAlignment w:val="auto"/>
        <w:rPr>
          <w:rFonts w:hint="eastAsia" w:ascii="黑体" w:hAnsi="黑体" w:eastAsia="黑体" w:cs="黑体"/>
          <w:color w:val="auto"/>
          <w:kern w:val="0"/>
          <w:sz w:val="36"/>
          <w:szCs w:val="36"/>
          <w:highlight w:val="none"/>
        </w:rPr>
      </w:pPr>
      <w:r>
        <w:rPr>
          <w:rFonts w:hint="eastAsia" w:ascii="黑体" w:hAnsi="黑体" w:eastAsia="黑体" w:cs="黑体"/>
          <w:color w:val="auto"/>
          <w:kern w:val="0"/>
          <w:sz w:val="36"/>
          <w:szCs w:val="36"/>
          <w:highlight w:val="none"/>
        </w:rPr>
        <w:t>（</w:t>
      </w:r>
      <w:r>
        <w:rPr>
          <w:rFonts w:hint="eastAsia" w:ascii="黑体" w:hAnsi="黑体" w:eastAsia="黑体" w:cs="黑体"/>
          <w:color w:val="auto"/>
          <w:kern w:val="0"/>
          <w:sz w:val="36"/>
          <w:szCs w:val="36"/>
          <w:highlight w:val="none"/>
          <w:lang w:val="en-US" w:eastAsia="zh-CN"/>
        </w:rPr>
        <w:t>2023</w:t>
      </w:r>
      <w:r>
        <w:rPr>
          <w:rFonts w:hint="eastAsia" w:ascii="黑体" w:hAnsi="黑体" w:eastAsia="黑体" w:cs="黑体"/>
          <w:color w:val="auto"/>
          <w:kern w:val="0"/>
          <w:sz w:val="36"/>
          <w:szCs w:val="36"/>
          <w:highlight w:val="none"/>
        </w:rPr>
        <w:t>年度）</w:t>
      </w: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lang w:val="en-US" w:eastAsia="zh-CN"/>
        </w:rPr>
      </w:pPr>
      <w:r>
        <w:rPr>
          <w:rFonts w:hint="eastAsia" w:ascii="仿宋" w:hAnsi="仿宋" w:eastAsia="仿宋" w:cs="仿宋"/>
          <w:color w:val="auto"/>
          <w:kern w:val="0"/>
          <w:sz w:val="36"/>
          <w:szCs w:val="36"/>
          <w:highlight w:val="none"/>
        </w:rPr>
        <w:t>部门单位名称（公章）：</w:t>
      </w: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填报时间：</w:t>
      </w:r>
      <w:r>
        <w:rPr>
          <w:rFonts w:hint="eastAsia" w:ascii="仿宋" w:hAnsi="仿宋" w:eastAsia="仿宋" w:cs="仿宋"/>
          <w:color w:val="auto"/>
          <w:kern w:val="0"/>
          <w:sz w:val="36"/>
          <w:szCs w:val="36"/>
          <w:highlight w:val="none"/>
          <w:lang w:val="en-US" w:eastAsia="zh-CN"/>
        </w:rPr>
        <w:t>2024</w:t>
      </w:r>
      <w:r>
        <w:rPr>
          <w:rFonts w:hint="eastAsia" w:ascii="仿宋" w:hAnsi="仿宋" w:eastAsia="仿宋" w:cs="仿宋"/>
          <w:color w:val="auto"/>
          <w:kern w:val="0"/>
          <w:sz w:val="36"/>
          <w:szCs w:val="36"/>
          <w:highlight w:val="none"/>
        </w:rPr>
        <w:t>年</w:t>
      </w:r>
      <w:r>
        <w:rPr>
          <w:rFonts w:hint="eastAsia" w:ascii="仿宋" w:hAnsi="仿宋" w:eastAsia="仿宋" w:cs="仿宋"/>
          <w:color w:val="auto"/>
          <w:kern w:val="0"/>
          <w:sz w:val="36"/>
          <w:szCs w:val="36"/>
          <w:highlight w:val="none"/>
          <w:lang w:val="en-US" w:eastAsia="zh-CN"/>
        </w:rPr>
        <w:t>4</w:t>
      </w:r>
      <w:r>
        <w:rPr>
          <w:rFonts w:hint="eastAsia" w:ascii="仿宋" w:hAnsi="仿宋" w:eastAsia="仿宋" w:cs="仿宋"/>
          <w:color w:val="auto"/>
          <w:kern w:val="0"/>
          <w:sz w:val="36"/>
          <w:szCs w:val="36"/>
          <w:highlight w:val="none"/>
        </w:rPr>
        <w:t>月</w:t>
      </w:r>
      <w:r>
        <w:rPr>
          <w:rFonts w:hint="eastAsia" w:ascii="仿宋" w:hAnsi="仿宋" w:eastAsia="仿宋" w:cs="仿宋"/>
          <w:color w:val="auto"/>
          <w:kern w:val="0"/>
          <w:sz w:val="36"/>
          <w:szCs w:val="36"/>
          <w:highlight w:val="none"/>
          <w:lang w:val="en-US" w:eastAsia="zh-CN"/>
        </w:rPr>
        <w:t>28</w:t>
      </w:r>
      <w:r>
        <w:rPr>
          <w:rFonts w:hint="eastAsia" w:ascii="仿宋" w:hAnsi="仿宋" w:eastAsia="仿宋" w:cs="仿宋"/>
          <w:color w:val="auto"/>
          <w:kern w:val="0"/>
          <w:sz w:val="36"/>
          <w:szCs w:val="36"/>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一、基本概况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2"/>
          <w:rFonts w:hint="eastAsia" w:ascii="黑体" w:hAnsi="黑体" w:eastAsia="黑体" w:cs="黑体"/>
          <w:b w:val="0"/>
          <w:bCs/>
          <w:color w:val="auto"/>
          <w:spacing w:val="-4"/>
          <w:sz w:val="32"/>
          <w:szCs w:val="32"/>
          <w:highlight w:val="none"/>
        </w:rPr>
      </w:pPr>
      <w:r>
        <w:rPr>
          <w:rStyle w:val="12"/>
          <w:rFonts w:hint="eastAsia" w:ascii="黑体" w:hAnsi="黑体" w:eastAsia="黑体" w:cs="黑体"/>
          <w:b w:val="0"/>
          <w:bCs/>
          <w:color w:val="auto"/>
          <w:spacing w:val="-4"/>
          <w:sz w:val="32"/>
          <w:szCs w:val="32"/>
          <w:highlight w:val="none"/>
          <w:lang w:val="en-US" w:eastAsia="zh-CN"/>
        </w:rPr>
        <w:t>(一)</w:t>
      </w:r>
      <w:r>
        <w:rPr>
          <w:rStyle w:val="12"/>
          <w:rFonts w:hint="eastAsia" w:ascii="黑体" w:hAnsi="黑体" w:eastAsia="黑体" w:cs="黑体"/>
          <w:b w:val="0"/>
          <w:bCs/>
          <w:color w:val="auto"/>
          <w:spacing w:val="-4"/>
          <w:sz w:val="32"/>
          <w:szCs w:val="32"/>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1.部门职能</w:t>
      </w:r>
    </w:p>
    <w:p>
      <w:pPr>
        <w:pStyle w:val="15"/>
        <w:spacing w:line="560" w:lineRule="exact"/>
        <w:ind w:firstLine="56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（1）贯彻实施国家、自治区、自治州医疗保险、生育保险、医疗救助、人身意外伤害保险、大额医疗补助、公务员医疗补助、企事业单位补充医疗保险、离休人员和优抚对象医疗保障等政策、管理办法。</w:t>
      </w:r>
    </w:p>
    <w:p>
      <w:pPr>
        <w:pStyle w:val="15"/>
        <w:spacing w:line="560" w:lineRule="exact"/>
        <w:ind w:firstLine="56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（2）组织实施医疗保障基金监督管理办法，建立健全医疗保险基金安全防控机制，组织推进医疗保障基金支付方式改革工作，编制库尔勒市医疗保障基金预决算草案。</w:t>
      </w:r>
    </w:p>
    <w:p>
      <w:pPr>
        <w:pStyle w:val="15"/>
        <w:spacing w:line="560" w:lineRule="exact"/>
        <w:ind w:firstLine="56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（3）组织实施医疗保障筹资和待遇政策，完善动态调整和区域调剂平衡机制，统筹城乡医疗保障待遇标准，建立健全与筹资水平相适应的待遇调整机制。贯彻实施长期护理保险制度改革方案。</w:t>
      </w:r>
    </w:p>
    <w:p>
      <w:pPr>
        <w:pStyle w:val="15"/>
        <w:spacing w:line="560" w:lineRule="exact"/>
        <w:ind w:firstLine="56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（4）监督实施自治区、自治州药品、医用耗材价格和医疗服务项目、医疗服务设施收费等政策。</w:t>
      </w:r>
    </w:p>
    <w:p>
      <w:pPr>
        <w:pStyle w:val="15"/>
        <w:spacing w:line="560" w:lineRule="exact"/>
        <w:ind w:firstLine="56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（5）组织实施药品、医用耗材、医疗服务项目、医疗服务设施等医保目录和支付标准，推进动态调整机制。</w:t>
      </w:r>
    </w:p>
    <w:p>
      <w:pPr>
        <w:pStyle w:val="15"/>
        <w:spacing w:line="560" w:lineRule="exact"/>
        <w:ind w:firstLine="56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（6）组织实施定点医药机构协议和支付管理办法，完善医疗保障信息评价体系和信息披露制度建设，监督管理纳入医保范围内的医疗服务行为和医疗费用，依法查处医疗保障、生育保险领域违法违规行为。</w:t>
      </w:r>
    </w:p>
    <w:p>
      <w:pPr>
        <w:pStyle w:val="15"/>
        <w:spacing w:line="560" w:lineRule="exact"/>
        <w:ind w:firstLine="56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 xml:space="preserve">（7）负责医疗保障经办管理、公共服务体系和信息化建设。 </w:t>
      </w:r>
    </w:p>
    <w:p>
      <w:pPr>
        <w:pStyle w:val="15"/>
        <w:spacing w:line="560" w:lineRule="exact"/>
        <w:ind w:firstLine="56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（8）完成市党委、市人民政府交办的其他任务。</w:t>
      </w:r>
    </w:p>
    <w:p>
      <w:pPr>
        <w:pStyle w:val="15"/>
        <w:spacing w:line="560" w:lineRule="exact"/>
        <w:ind w:firstLine="560"/>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9）职能转变。市医疗保障局应推进统一的城乡居民基本医疗保障制度和大病保险制度，建立健全覆盖全民、城乡统筹的多层次医疗保障体系，不断提高医疗保障水平，确保医保资金合理使用、安全可控、推进医疗、医保、医药“三医联运”改划，更好保障人民群众就医需求、减轻医药费用负担。</w:t>
      </w:r>
    </w:p>
    <w:p>
      <w:pPr>
        <w:pStyle w:val="15"/>
        <w:spacing w:line="560" w:lineRule="exact"/>
        <w:ind w:firstLine="560"/>
        <w:rPr>
          <w:rFonts w:hint="eastAsia" w:ascii="仿宋" w:hAnsi="仿宋" w:eastAsia="仿宋"/>
          <w:color w:val="auto"/>
          <w:sz w:val="28"/>
          <w:szCs w:val="28"/>
          <w:highlight w:val="none"/>
        </w:rPr>
      </w:pPr>
      <w:r>
        <w:rPr>
          <w:rFonts w:hint="eastAsia" w:ascii="仿宋" w:hAnsi="仿宋" w:eastAsia="仿宋" w:cs="仿宋"/>
          <w:b w:val="0"/>
          <w:bCs w:val="0"/>
          <w:color w:val="auto"/>
          <w:kern w:val="2"/>
          <w:sz w:val="32"/>
          <w:szCs w:val="32"/>
          <w:highlight w:val="none"/>
          <w:lang w:val="en-US" w:eastAsia="zh-CN" w:bidi="ar-SA"/>
        </w:rPr>
        <w:t>（10）与市卫生健康委员会的有关职责分工。市卫生健康委员会、市医疗保障局等部门在医疗、医保、医药等方面加强制度、政策衔接，建立沟通协商机制，协同推进改革、提高医疗资源使用效率和医疗保障水平</w:t>
      </w:r>
      <w:r>
        <w:rPr>
          <w:rFonts w:hint="eastAsia" w:ascii="仿宋" w:hAnsi="仿宋" w:eastAsia="仿宋"/>
          <w:color w:val="auto"/>
          <w:sz w:val="28"/>
          <w:szCs w:val="28"/>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2.部门机构人员构成情况</w:t>
      </w:r>
    </w:p>
    <w:p>
      <w:pPr>
        <w:pStyle w:val="8"/>
        <w:keepNext w:val="0"/>
        <w:keepLines w:val="0"/>
        <w:pageBreakBefore w:val="0"/>
        <w:widowControl/>
        <w:kinsoku/>
        <w:wordWrap/>
        <w:overflowPunct/>
        <w:topLinePunct w:val="0"/>
        <w:autoSpaceDE/>
        <w:autoSpaceDN/>
        <w:bidi w:val="0"/>
        <w:adjustRightInd/>
        <w:snapToGrid/>
        <w:spacing w:before="40" w:beforeAutospacing="0" w:after="0" w:afterAutospacing="0" w:line="600" w:lineRule="exact"/>
        <w:ind w:firstLine="640" w:firstLineChars="200"/>
        <w:jc w:val="both"/>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库尔勒市医疗保障局编</w:t>
      </w:r>
      <w:r>
        <w:rPr>
          <w:rFonts w:hint="eastAsia" w:ascii="仿宋" w:hAnsi="仿宋" w:eastAsia="仿宋" w:cs="仿宋"/>
          <w:color w:val="auto"/>
          <w:kern w:val="2"/>
          <w:sz w:val="32"/>
          <w:szCs w:val="32"/>
          <w:highlight w:val="none"/>
          <w:lang w:val="en-US" w:eastAsia="zh-CN" w:bidi="ar-SA"/>
        </w:rPr>
        <w:t>制数52人，实有人数56人，其中：在职52人；退休4人；离休0人。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2"/>
          <w:rFonts w:hint="eastAsia" w:ascii="黑体" w:hAnsi="黑体" w:eastAsia="黑体" w:cs="黑体"/>
          <w:b w:val="0"/>
          <w:bCs/>
          <w:color w:val="auto"/>
          <w:spacing w:val="-4"/>
          <w:sz w:val="32"/>
          <w:szCs w:val="32"/>
          <w:highlight w:val="none"/>
          <w:lang w:val="en-US" w:eastAsia="zh-CN"/>
        </w:rPr>
      </w:pPr>
      <w:r>
        <w:rPr>
          <w:rStyle w:val="12"/>
          <w:rFonts w:hint="eastAsia" w:ascii="黑体" w:hAnsi="黑体" w:eastAsia="黑体" w:cs="黑体"/>
          <w:b w:val="0"/>
          <w:bCs/>
          <w:color w:val="auto"/>
          <w:spacing w:val="-4"/>
          <w:sz w:val="32"/>
          <w:szCs w:val="32"/>
          <w:highlight w:val="none"/>
          <w:lang w:val="en-US" w:eastAsia="zh-CN"/>
        </w:rPr>
        <w:t>(二)部门单位年度重点工作</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1.2023年度工作计划</w:t>
      </w:r>
    </w:p>
    <w:p>
      <w:pPr>
        <w:pageBreakBefore w:val="0"/>
        <w:kinsoku/>
        <w:wordWrap/>
        <w:overflowPunct/>
        <w:topLinePunct w:val="0"/>
        <w:autoSpaceDE/>
        <w:autoSpaceDN/>
        <w:bidi w:val="0"/>
        <w:adjustRightInd/>
        <w:spacing w:line="600" w:lineRule="exact"/>
        <w:ind w:firstLine="624" w:firstLineChars="200"/>
        <w:textAlignment w:val="auto"/>
        <w:rPr>
          <w:rStyle w:val="12"/>
          <w:rFonts w:hint="eastAsia" w:ascii="仿宋" w:hAnsi="仿宋" w:eastAsia="仿宋" w:cs="仿宋"/>
          <w:b w:val="0"/>
          <w:bCs/>
          <w:color w:val="auto"/>
          <w:spacing w:val="-4"/>
          <w:sz w:val="32"/>
          <w:szCs w:val="32"/>
          <w:highlight w:val="none"/>
          <w:lang w:val="en-US" w:eastAsia="zh-CN"/>
        </w:rPr>
      </w:pPr>
      <w:r>
        <w:rPr>
          <w:rStyle w:val="12"/>
          <w:rFonts w:hint="eastAsia" w:ascii="仿宋" w:hAnsi="仿宋" w:eastAsia="仿宋" w:cs="仿宋"/>
          <w:b w:val="0"/>
          <w:bCs/>
          <w:color w:val="auto"/>
          <w:spacing w:val="-4"/>
          <w:sz w:val="32"/>
          <w:szCs w:val="32"/>
          <w:highlight w:val="none"/>
          <w:lang w:val="en-US" w:eastAsia="zh-CN"/>
        </w:rPr>
        <w:t>（一）扩大医保政策宣传，提高医疗保险参保率。积极借助库尔勒零距离、文明梨城大家谈、微信公众号等融媒体网络平台开展宣传活动，对2023年医疗保险惠民政策进行宣传，努力提高全市居民医疗保险参保率，实现应参尽参，应保尽保。积极完成城乡居民参保任务率稳定在99%以上，城乡困难居民医疗保险缴费资助达100%的工作目标。</w:t>
      </w:r>
    </w:p>
    <w:p>
      <w:pPr>
        <w:pageBreakBefore w:val="0"/>
        <w:kinsoku/>
        <w:wordWrap/>
        <w:overflowPunct/>
        <w:topLinePunct w:val="0"/>
        <w:autoSpaceDE/>
        <w:autoSpaceDN/>
        <w:bidi w:val="0"/>
        <w:adjustRightInd/>
        <w:spacing w:line="600" w:lineRule="exact"/>
        <w:ind w:firstLine="624" w:firstLineChars="200"/>
        <w:textAlignment w:val="auto"/>
        <w:rPr>
          <w:rStyle w:val="12"/>
          <w:rFonts w:hint="eastAsia" w:ascii="仿宋" w:hAnsi="仿宋" w:eastAsia="仿宋" w:cs="仿宋"/>
          <w:b w:val="0"/>
          <w:bCs/>
          <w:color w:val="auto"/>
          <w:spacing w:val="-4"/>
          <w:sz w:val="32"/>
          <w:szCs w:val="32"/>
          <w:highlight w:val="none"/>
          <w:lang w:val="en-US" w:eastAsia="zh-CN"/>
        </w:rPr>
      </w:pPr>
      <w:r>
        <w:rPr>
          <w:rStyle w:val="12"/>
          <w:rFonts w:hint="eastAsia" w:ascii="仿宋" w:hAnsi="仿宋" w:eastAsia="仿宋" w:cs="仿宋"/>
          <w:b w:val="0"/>
          <w:bCs/>
          <w:color w:val="auto"/>
          <w:spacing w:val="-4"/>
          <w:sz w:val="32"/>
          <w:szCs w:val="32"/>
          <w:highlight w:val="none"/>
          <w:lang w:val="en-US" w:eastAsia="zh-CN"/>
        </w:rPr>
        <w:t>（二）全力做好脱贫攻坚与乡村振兴有效衔接。常态化落实好城乡居民医疗困难群众医疗保险参保资助政策工作，重点对全市脱贫户、三类户家庭实施动态监测，及时给予困难群众全额或定额资助，做到应参尽参，应保尽保，实现城乡困难居民医疗保险缴费资助100%，有效解决“两不愁三保障”中的医疗保障工作得到有效落实，不断提升人民群众的获得感和幸福感。</w:t>
      </w:r>
    </w:p>
    <w:p>
      <w:pPr>
        <w:pageBreakBefore w:val="0"/>
        <w:kinsoku/>
        <w:wordWrap/>
        <w:overflowPunct/>
        <w:topLinePunct w:val="0"/>
        <w:autoSpaceDE/>
        <w:autoSpaceDN/>
        <w:bidi w:val="0"/>
        <w:adjustRightInd/>
        <w:spacing w:line="600" w:lineRule="exact"/>
        <w:ind w:firstLine="624" w:firstLineChars="200"/>
        <w:textAlignment w:val="auto"/>
        <w:rPr>
          <w:rStyle w:val="12"/>
          <w:rFonts w:hint="eastAsia" w:ascii="仿宋" w:hAnsi="仿宋" w:eastAsia="仿宋" w:cs="仿宋"/>
          <w:b w:val="0"/>
          <w:bCs/>
          <w:color w:val="auto"/>
          <w:spacing w:val="-4"/>
          <w:sz w:val="32"/>
          <w:szCs w:val="32"/>
          <w:highlight w:val="none"/>
          <w:lang w:val="en-US" w:eastAsia="zh-CN"/>
        </w:rPr>
      </w:pPr>
      <w:r>
        <w:rPr>
          <w:rStyle w:val="12"/>
          <w:rFonts w:hint="eastAsia" w:ascii="仿宋" w:hAnsi="仿宋" w:eastAsia="仿宋" w:cs="仿宋"/>
          <w:b w:val="0"/>
          <w:bCs/>
          <w:color w:val="auto"/>
          <w:spacing w:val="-4"/>
          <w:sz w:val="32"/>
          <w:szCs w:val="32"/>
          <w:highlight w:val="none"/>
          <w:lang w:val="en-US" w:eastAsia="zh-CN"/>
        </w:rPr>
        <w:t>（三）加大基金监管，有效维护医保基金安全。认真履行医保基金的监督管理职责，不断加强医保基金监督管理力度，严格落实《医疗保障基金使用监督管理条例》工作职责，完善基本医疗保险协议管理，简化优化医保定点申请评估流程，强化协议履行、行为规范、服务质量和费用考核评价，落实定点医药机构退出机制，实行动态管理。主动向自治州医保局申请医保基金监管工作经费，制定“打击欺诈骗保举报奖励办法、2023年医保基金监管工作方案”，加大市场监督管理局、卫健委、公安局等部门的联合督查力度，有效维护医保基金安全。</w:t>
      </w:r>
    </w:p>
    <w:p>
      <w:pPr>
        <w:pageBreakBefore w:val="0"/>
        <w:kinsoku/>
        <w:wordWrap/>
        <w:overflowPunct/>
        <w:topLinePunct w:val="0"/>
        <w:autoSpaceDE/>
        <w:autoSpaceDN/>
        <w:bidi w:val="0"/>
        <w:adjustRightInd/>
        <w:spacing w:line="600" w:lineRule="exact"/>
        <w:ind w:firstLine="624" w:firstLineChars="200"/>
        <w:textAlignment w:val="auto"/>
        <w:rPr>
          <w:rStyle w:val="12"/>
          <w:rFonts w:hint="eastAsia" w:ascii="仿宋" w:hAnsi="仿宋" w:eastAsia="仿宋" w:cs="仿宋"/>
          <w:b w:val="0"/>
          <w:bCs/>
          <w:color w:val="auto"/>
          <w:spacing w:val="-4"/>
          <w:sz w:val="32"/>
          <w:szCs w:val="32"/>
          <w:highlight w:val="none"/>
          <w:lang w:val="en-US" w:eastAsia="zh-CN"/>
        </w:rPr>
      </w:pPr>
      <w:r>
        <w:rPr>
          <w:rStyle w:val="12"/>
          <w:rFonts w:hint="eastAsia" w:ascii="仿宋" w:hAnsi="仿宋" w:eastAsia="仿宋" w:cs="仿宋"/>
          <w:b w:val="0"/>
          <w:bCs/>
          <w:color w:val="auto"/>
          <w:spacing w:val="-4"/>
          <w:sz w:val="32"/>
          <w:szCs w:val="32"/>
          <w:highlight w:val="none"/>
          <w:lang w:val="en-US" w:eastAsia="zh-CN"/>
        </w:rPr>
        <w:t>（四）积极落实药品和医疗器械集中带量采购工作。将进一步按照国家、自治区和省级联盟集中带量采购工作的安排部署，完成药品带量采购每个批次每个周期的采购任务，进一步扩大药品集中采购规模，鼓励社会办医药机构积极参与集中带量采购工作，确保每批次集中带量采购顺利完成，有效降低患者就医经济负担，让更多患者享受到集中采购的政策福利。</w:t>
      </w:r>
      <w:r>
        <w:rPr>
          <w:rStyle w:val="12"/>
          <w:rFonts w:hint="eastAsia" w:ascii="仿宋" w:hAnsi="仿宋" w:eastAsia="仿宋" w:cs="仿宋"/>
          <w:b w:val="0"/>
          <w:bCs/>
          <w:color w:val="auto"/>
          <w:spacing w:val="-4"/>
          <w:sz w:val="32"/>
          <w:szCs w:val="32"/>
          <w:highlight w:val="none"/>
          <w:lang w:val="en-US" w:eastAsia="zh-CN"/>
        </w:rPr>
        <w:tab/>
      </w:r>
      <w:r>
        <w:rPr>
          <w:rStyle w:val="12"/>
          <w:rFonts w:hint="eastAsia" w:ascii="仿宋" w:hAnsi="仿宋" w:eastAsia="仿宋" w:cs="仿宋"/>
          <w:b w:val="0"/>
          <w:bCs/>
          <w:color w:val="auto"/>
          <w:spacing w:val="-4"/>
          <w:sz w:val="32"/>
          <w:szCs w:val="32"/>
          <w:highlight w:val="none"/>
          <w:lang w:val="en-US" w:eastAsia="zh-CN"/>
        </w:rPr>
        <w:t xml:space="preserve"> </w:t>
      </w:r>
    </w:p>
    <w:p>
      <w:pPr>
        <w:pageBreakBefore w:val="0"/>
        <w:kinsoku/>
        <w:wordWrap/>
        <w:overflowPunct/>
        <w:topLinePunct w:val="0"/>
        <w:autoSpaceDE/>
        <w:autoSpaceDN/>
        <w:bidi w:val="0"/>
        <w:adjustRightInd/>
        <w:spacing w:line="600" w:lineRule="exact"/>
        <w:ind w:firstLine="624" w:firstLineChars="200"/>
        <w:textAlignment w:val="auto"/>
        <w:rPr>
          <w:rStyle w:val="12"/>
          <w:rFonts w:hint="eastAsia" w:ascii="仿宋" w:hAnsi="仿宋" w:eastAsia="仿宋" w:cs="仿宋"/>
          <w:b w:val="0"/>
          <w:bCs/>
          <w:color w:val="auto"/>
          <w:spacing w:val="-4"/>
          <w:sz w:val="32"/>
          <w:szCs w:val="32"/>
          <w:highlight w:val="none"/>
          <w:lang w:val="en-US" w:eastAsia="zh-CN"/>
        </w:rPr>
      </w:pPr>
      <w:r>
        <w:rPr>
          <w:rStyle w:val="12"/>
          <w:rFonts w:hint="eastAsia" w:ascii="仿宋" w:hAnsi="仿宋" w:eastAsia="仿宋" w:cs="仿宋"/>
          <w:b w:val="0"/>
          <w:bCs/>
          <w:color w:val="auto"/>
          <w:spacing w:val="-4"/>
          <w:sz w:val="32"/>
          <w:szCs w:val="32"/>
          <w:highlight w:val="none"/>
          <w:lang w:val="en-US" w:eastAsia="zh-CN"/>
        </w:rPr>
        <w:t>（五）严格落实医疗待遇保障惠民政策，有效减轻患者就医经济压力。在全力保障好基本医疗费用结算的同时，持续巩固拓展医疗保障脱贫攻坚成果，加大“一站式”，“门诊共济”“支付方式改革”等重点工作。积极开展医疗救助服务，夯实医疗救助托底保障作用。全力落实DRG付费方式改革目标，有效减轻人民群众的医疗经济负担。</w:t>
      </w:r>
    </w:p>
    <w:p>
      <w:pPr>
        <w:pStyle w:val="3"/>
        <w:pageBreakBefore w:val="0"/>
        <w:kinsoku/>
        <w:wordWrap/>
        <w:overflowPunct/>
        <w:topLinePunct w:val="0"/>
        <w:autoSpaceDE/>
        <w:autoSpaceDN/>
        <w:bidi w:val="0"/>
        <w:adjustRightInd/>
        <w:spacing w:line="600" w:lineRule="exact"/>
        <w:ind w:firstLine="640" w:firstLineChars="200"/>
        <w:textAlignment w:val="auto"/>
        <w:rPr>
          <w:rFonts w:hint="eastAsia" w:ascii="黑体" w:hAnsi="黑体" w:eastAsia="黑体" w:cs="黑体"/>
          <w:color w:val="auto"/>
          <w:highlight w:val="none"/>
          <w:lang w:val="en-US" w:eastAsia="zh-CN"/>
        </w:rPr>
      </w:pPr>
      <w:r>
        <w:rPr>
          <w:rFonts w:hint="eastAsia" w:ascii="黑体" w:hAnsi="黑体" w:eastAsia="黑体" w:cs="黑体"/>
          <w:b w:val="0"/>
          <w:bCs/>
          <w:color w:val="auto"/>
          <w:sz w:val="32"/>
          <w:szCs w:val="32"/>
          <w:highlight w:val="none"/>
          <w:lang w:val="en-US" w:eastAsia="zh-CN"/>
        </w:rPr>
        <w:t>2.机构人员保障情况</w:t>
      </w:r>
    </w:p>
    <w:p>
      <w:pPr>
        <w:pageBreakBefore w:val="0"/>
        <w:kinsoku/>
        <w:wordWrap/>
        <w:overflowPunct/>
        <w:topLinePunct w:val="0"/>
        <w:autoSpaceDE/>
        <w:autoSpaceDN/>
        <w:bidi w:val="0"/>
        <w:adjustRightInd/>
        <w:spacing w:line="600" w:lineRule="exact"/>
        <w:ind w:firstLine="624" w:firstLineChars="200"/>
        <w:textAlignment w:val="auto"/>
        <w:rPr>
          <w:rStyle w:val="12"/>
          <w:rFonts w:hint="eastAsia" w:ascii="仿宋" w:hAnsi="仿宋" w:eastAsia="仿宋" w:cs="仿宋"/>
          <w:b w:val="0"/>
          <w:bCs/>
          <w:color w:val="auto"/>
          <w:spacing w:val="-4"/>
          <w:sz w:val="32"/>
          <w:szCs w:val="32"/>
          <w:highlight w:val="none"/>
          <w:lang w:val="en-US" w:eastAsia="zh-CN"/>
        </w:rPr>
      </w:pPr>
      <w:r>
        <w:rPr>
          <w:rStyle w:val="12"/>
          <w:rFonts w:hint="eastAsia" w:ascii="仿宋" w:hAnsi="仿宋" w:eastAsia="仿宋" w:cs="仿宋"/>
          <w:b w:val="0"/>
          <w:bCs/>
          <w:color w:val="auto"/>
          <w:spacing w:val="-4"/>
          <w:sz w:val="32"/>
          <w:szCs w:val="32"/>
          <w:highlight w:val="none"/>
          <w:lang w:val="en-US" w:eastAsia="zh-CN"/>
        </w:rPr>
        <w:t>库尔勒市医疗保障局2023年通过本部门预算支出，确保了56名在职人员的工资、津贴、补贴、社保、绩效、公积金等以及4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2"/>
          <w:rFonts w:hint="eastAsia" w:ascii="黑体" w:hAnsi="黑体" w:eastAsia="黑体" w:cs="黑体"/>
          <w:b w:val="0"/>
          <w:bCs/>
          <w:color w:val="auto"/>
          <w:spacing w:val="-4"/>
          <w:sz w:val="32"/>
          <w:szCs w:val="32"/>
          <w:highlight w:val="none"/>
          <w:lang w:val="en-US" w:eastAsia="zh-CN"/>
        </w:rPr>
      </w:pPr>
      <w:r>
        <w:rPr>
          <w:rStyle w:val="12"/>
          <w:rFonts w:hint="eastAsia" w:ascii="黑体" w:hAnsi="黑体" w:eastAsia="黑体" w:cs="黑体"/>
          <w:b w:val="0"/>
          <w:bCs/>
          <w:color w:val="auto"/>
          <w:spacing w:val="-4"/>
          <w:sz w:val="32"/>
          <w:szCs w:val="32"/>
          <w:highlight w:val="none"/>
          <w:lang w:val="en-US" w:eastAsia="zh-CN"/>
        </w:rPr>
        <w:t>(三)部门单位整体预算规模及安排情况</w:t>
      </w:r>
    </w:p>
    <w:p>
      <w:pPr>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1.年初预算安排</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2023年我部门年初安排预算数为7069.77万元，其中:上级安排7.50万元,本级安排7062.27万元，其他资金0.00万元。</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val="0"/>
          <w:color w:val="auto"/>
          <w:kern w:val="2"/>
          <w:sz w:val="32"/>
          <w:szCs w:val="32"/>
          <w:highlight w:val="none"/>
          <w:lang w:val="en-US" w:eastAsia="zh-CN" w:bidi="ar-SA"/>
        </w:rPr>
      </w:pPr>
      <w:r>
        <w:rPr>
          <w:rFonts w:hint="eastAsia" w:ascii="仿宋" w:hAnsi="仿宋" w:eastAsia="仿宋" w:cs="仿宋"/>
          <w:b w:val="0"/>
          <w:bCs w:val="0"/>
          <w:color w:val="auto"/>
          <w:kern w:val="2"/>
          <w:sz w:val="32"/>
          <w:szCs w:val="32"/>
          <w:highlight w:val="none"/>
          <w:lang w:val="en-US" w:eastAsia="zh-CN" w:bidi="ar-SA"/>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2.预算年中调整情况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我部门年初安排预算数7069.77万元，年中调整数-6123.08万元，调整后全年预算数946.69万元，预算调整率86.61%。</w:t>
      </w:r>
    </w:p>
    <w:p>
      <w:pPr>
        <w:pStyle w:val="3"/>
        <w:keepNext/>
        <w:keepLines/>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val="0"/>
          <w:bCs/>
          <w:color w:val="auto"/>
          <w:kern w:val="2"/>
          <w:sz w:val="32"/>
          <w:szCs w:val="32"/>
          <w:highlight w:val="none"/>
          <w:lang w:val="en-US" w:eastAsia="zh-CN" w:bidi="ar-SA"/>
        </w:rPr>
      </w:pPr>
      <w:r>
        <w:rPr>
          <w:rFonts w:hint="eastAsia" w:ascii="仿宋" w:hAnsi="仿宋" w:eastAsia="仿宋" w:cs="仿宋"/>
          <w:b w:val="0"/>
          <w:bCs/>
          <w:color w:val="auto"/>
          <w:kern w:val="2"/>
          <w:sz w:val="32"/>
          <w:szCs w:val="32"/>
          <w:highlight w:val="none"/>
          <w:lang w:val="en-US" w:eastAsia="zh-CN" w:bidi="ar-SA"/>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eastAsia="zh-CN"/>
        </w:rPr>
      </w:pPr>
      <w:r>
        <w:rPr>
          <w:rFonts w:hint="eastAsia" w:ascii="黑体" w:hAnsi="黑体" w:eastAsia="黑体" w:cs="黑体"/>
          <w:b w:val="0"/>
          <w:bCs/>
          <w:color w:val="auto"/>
          <w:sz w:val="32"/>
          <w:szCs w:val="32"/>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我单位2023年度部门整体支出为946.69万元，其中：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（1）基本支出</w:t>
      </w:r>
      <w:r>
        <w:rPr>
          <w:rFonts w:hint="eastAsia" w:ascii="仿宋" w:hAnsi="仿宋" w:eastAsia="仿宋" w:cs="仿宋"/>
          <w:b w:val="0"/>
          <w:bCs/>
          <w:color w:val="auto"/>
          <w:sz w:val="32"/>
          <w:szCs w:val="32"/>
          <w:highlight w:val="none"/>
          <w:lang w:val="en-US" w:eastAsia="zh-CN"/>
        </w:rPr>
        <w:t>906.42</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color w:val="auto"/>
          <w:kern w:val="2"/>
          <w:sz w:val="32"/>
          <w:szCs w:val="32"/>
          <w:highlight w:val="none"/>
          <w:lang w:val="en-US" w:eastAsia="zh-CN" w:bidi="ar-SA"/>
        </w:rPr>
        <w:t>基本工资、津贴补贴、奖金、机关事业单位基本养老保险缴费、职业年金缴费、职工基本医疗保险缴费、公务员医疗补助缴费、其他社会保障缴费、住房公积金、其他工资福利支出、</w:t>
      </w:r>
      <w:r>
        <w:rPr>
          <w:rFonts w:hint="eastAsia" w:ascii="仿宋" w:hAnsi="仿宋" w:eastAsia="仿宋" w:cs="仿宋"/>
          <w:color w:val="auto"/>
          <w:sz w:val="32"/>
          <w:szCs w:val="32"/>
          <w:highlight w:val="none"/>
          <w:lang w:val="en-US" w:eastAsia="zh-CN"/>
        </w:rPr>
        <w:t>办公费、邮电费、物业管理费、差旅费、培训费、工会经费、福利费、公务用车运行维护费、</w:t>
      </w:r>
      <w:r>
        <w:rPr>
          <w:rFonts w:hint="eastAsia" w:ascii="仿宋" w:hAnsi="仿宋" w:eastAsia="仿宋" w:cs="仿宋"/>
          <w:color w:val="auto"/>
          <w:kern w:val="2"/>
          <w:sz w:val="32"/>
          <w:szCs w:val="32"/>
          <w:highlight w:val="none"/>
          <w:lang w:val="en-US" w:eastAsia="zh-CN" w:bidi="ar-SA"/>
        </w:rPr>
        <w:t>对个人和家庭的补助等。</w:t>
      </w:r>
    </w:p>
    <w:p>
      <w:pPr>
        <w:pageBreakBefore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（2）项目支出</w:t>
      </w:r>
      <w:r>
        <w:rPr>
          <w:rFonts w:hint="eastAsia" w:ascii="仿宋" w:hAnsi="仿宋" w:eastAsia="仿宋" w:cs="仿宋"/>
          <w:b w:val="0"/>
          <w:bCs/>
          <w:color w:val="auto"/>
          <w:sz w:val="32"/>
          <w:szCs w:val="32"/>
          <w:highlight w:val="none"/>
          <w:lang w:val="en-US" w:eastAsia="zh-CN"/>
        </w:rPr>
        <w:t>40.27</w:t>
      </w:r>
      <w:r>
        <w:rPr>
          <w:rFonts w:hint="eastAsia" w:ascii="仿宋" w:hAnsi="仿宋" w:eastAsia="仿宋" w:cs="仿宋"/>
          <w:color w:val="auto"/>
          <w:sz w:val="32"/>
          <w:szCs w:val="32"/>
          <w:highlight w:val="none"/>
          <w:lang w:val="en-US" w:eastAsia="zh-CN"/>
        </w:rPr>
        <w:t>万元，主要用于</w:t>
      </w:r>
      <w:r>
        <w:rPr>
          <w:rFonts w:hint="eastAsia" w:ascii="仿宋" w:hAnsi="仿宋" w:eastAsia="仿宋" w:cs="仿宋"/>
          <w:b w:val="0"/>
          <w:bCs w:val="0"/>
          <w:color w:val="auto"/>
          <w:kern w:val="2"/>
          <w:sz w:val="32"/>
          <w:szCs w:val="32"/>
          <w:highlight w:val="none"/>
          <w:lang w:val="en-US" w:eastAsia="zh-CN" w:bidi="ar-SA"/>
        </w:rPr>
        <w:t>巴财社〔2022〕51号关于拨付2022年中央医疗服务与保障能力提升补助资金（医疗保障服务能力建设部分）项目8万元、巴财社【2022】120号关于提前下达2023年医疗服务与保障能力提升[医疗保障服务能力建设部分]中央财政补助资金预算的通知项目15.83万元、巴财社[2022]105号关于提前下达2023年自治区财政全民参保及医疗服务补助资金预算的通知0.44万元、巴财社〔2022〕5号关于提前下达2022年自治区财政全民参保补助资金1.70万元、部门专项-医疗保险业务经费和大楼运行专项经费14.30万元</w:t>
      </w:r>
      <w:r>
        <w:rPr>
          <w:rFonts w:hint="eastAsia" w:ascii="仿宋" w:hAnsi="仿宋" w:eastAsia="仿宋" w:cs="仿宋"/>
          <w:color w:val="auto"/>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（一）基本支出投入、管理和使用情况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2023年我部门基本支出年初预算安排929.04万元，全年预算数906.42万元，全年实际支出数906.42万元，其中：人员经费873.28万元，公用经费33.14万元。全年预算执行率100.00%。</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b w:val="0"/>
          <w:bCs/>
          <w:color w:val="auto"/>
          <w:sz w:val="32"/>
          <w:szCs w:val="32"/>
          <w:highlight w:val="none"/>
          <w:lang w:val="en-US" w:eastAsia="zh-CN"/>
        </w:rPr>
      </w:pPr>
      <w:r>
        <w:rPr>
          <w:rFonts w:hint="eastAsia" w:ascii="仿宋" w:hAnsi="仿宋" w:eastAsia="仿宋" w:cs="仿宋"/>
          <w:b w:val="0"/>
          <w:bCs/>
          <w:color w:val="auto"/>
          <w:sz w:val="32"/>
          <w:szCs w:val="32"/>
          <w:highlight w:val="none"/>
          <w:lang w:val="en-US" w:eastAsia="zh-CN"/>
        </w:rPr>
        <w:t>基本支出严格按照财务管理制度执行。人员工资由相关部门严格审核，按月申报及发放。基本公用经费主要用于支付单位日常的办公费、邮电费、物业管理费、差旅费、培训费、工会经费、福利费、公务用车运行维护费等。公务用车运行维护费主要用于单位车辆加油、维修及购买车辆保险。</w:t>
      </w:r>
    </w:p>
    <w:p>
      <w:pPr>
        <w:pStyle w:val="3"/>
        <w:keepNext/>
        <w:keepLines/>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val="0"/>
          <w:color w:val="auto"/>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1.项目支出投入和使用情况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2023年本单位共安排5个项目，全年预算数为40.27万元，全年实际支出数40.27万元，执行率100.00%。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rPr>
      </w:pPr>
      <w:r>
        <w:rPr>
          <w:rFonts w:hint="eastAsia" w:ascii="仿宋" w:hAnsi="仿宋" w:eastAsia="仿宋" w:cs="仿宋"/>
          <w:color w:val="auto"/>
          <w:kern w:val="2"/>
          <w:sz w:val="32"/>
          <w:szCs w:val="32"/>
          <w:highlight w:val="none"/>
          <w:lang w:val="en-US" w:eastAsia="zh-CN"/>
        </w:rPr>
        <w:t>其中:上级安排项目4个25.97万元，本级安排项目1个14.30万元,其他资金安排项目0个0万元。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黑体" w:hAnsi="黑体" w:eastAsia="黑体" w:cs="黑体"/>
          <w:b w:val="0"/>
          <w:bCs/>
          <w:color w:val="auto"/>
          <w:sz w:val="32"/>
          <w:szCs w:val="32"/>
          <w:highlight w:val="none"/>
          <w:lang w:val="en-US" w:eastAsia="zh-CN"/>
        </w:rPr>
      </w:pPr>
      <w:r>
        <w:rPr>
          <w:rFonts w:hint="eastAsia" w:ascii="黑体" w:hAnsi="黑体" w:eastAsia="黑体" w:cs="黑体"/>
          <w:b w:val="0"/>
          <w:bCs/>
          <w:color w:val="auto"/>
          <w:sz w:val="32"/>
          <w:szCs w:val="32"/>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color w:val="auto"/>
          <w:kern w:val="2"/>
          <w:sz w:val="32"/>
          <w:szCs w:val="32"/>
          <w:highlight w:val="none"/>
          <w:lang w:val="en-US" w:eastAsia="zh-CN" w:bidi="ar-SA"/>
        </w:rPr>
      </w:pPr>
      <w:r>
        <w:rPr>
          <w:rFonts w:hint="eastAsia" w:ascii="仿宋" w:hAnsi="仿宋" w:eastAsia="仿宋" w:cs="仿宋"/>
          <w:color w:val="auto"/>
          <w:kern w:val="2"/>
          <w:sz w:val="32"/>
          <w:szCs w:val="32"/>
          <w:highlight w:val="none"/>
          <w:lang w:val="en-US" w:eastAsia="zh-CN" w:bidi="ar-SA"/>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kern w:val="2"/>
          <w:sz w:val="32"/>
          <w:szCs w:val="32"/>
          <w:highlight w:val="none"/>
          <w:lang w:val="en-US" w:eastAsia="zh-CN" w:bidi="ar-SA"/>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Style w:val="12"/>
          <w:rFonts w:hint="eastAsia" w:ascii="仿宋_GB2312" w:hAnsi="楷体" w:eastAsia="仿宋_GB2312" w:cs="Times New Roman"/>
          <w:b w:val="0"/>
          <w:color w:val="auto"/>
          <w:spacing w:val="-4"/>
          <w:sz w:val="32"/>
          <w:szCs w:val="32"/>
          <w:highlight w:val="none"/>
          <w:lang w:val="en-US" w:eastAsia="zh-CN"/>
        </w:rPr>
      </w:pPr>
      <w:r>
        <w:rPr>
          <w:rFonts w:hint="eastAsia" w:ascii="黑体" w:hAnsi="黑体" w:eastAsia="黑体" w:cs="黑体"/>
          <w:b w:val="0"/>
          <w:bCs w:val="0"/>
          <w:color w:val="auto"/>
          <w:sz w:val="32"/>
          <w:szCs w:val="32"/>
          <w:highlight w:val="none"/>
          <w:lang w:val="en-US" w:eastAsia="zh-CN"/>
        </w:rPr>
        <w:t>三、部门单位整体支出绩效分析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2"/>
          <w:rFonts w:hint="eastAsia" w:ascii="仿宋" w:hAnsi="仿宋" w:eastAsia="仿宋" w:cs="仿宋"/>
          <w:b w:val="0"/>
          <w:color w:val="auto"/>
          <w:spacing w:val="-4"/>
          <w:sz w:val="32"/>
          <w:szCs w:val="32"/>
          <w:highlight w:val="none"/>
          <w:lang w:val="en-US" w:eastAsia="zh-CN"/>
        </w:rPr>
      </w:pPr>
      <w:r>
        <w:rPr>
          <w:rStyle w:val="12"/>
          <w:rFonts w:hint="eastAsia" w:ascii="仿宋" w:hAnsi="仿宋" w:eastAsia="仿宋" w:cs="仿宋"/>
          <w:b w:val="0"/>
          <w:color w:val="auto"/>
          <w:spacing w:val="-4"/>
          <w:sz w:val="32"/>
          <w:szCs w:val="32"/>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2"/>
          <w:rFonts w:hint="eastAsia" w:ascii="仿宋" w:hAnsi="仿宋" w:eastAsia="仿宋" w:cs="仿宋"/>
          <w:b w:val="0"/>
          <w:color w:val="auto"/>
          <w:spacing w:val="-4"/>
          <w:sz w:val="32"/>
          <w:szCs w:val="32"/>
          <w:highlight w:val="none"/>
          <w:lang w:val="en-US" w:eastAsia="zh-CN"/>
        </w:rPr>
      </w:pPr>
      <w:r>
        <w:rPr>
          <w:rStyle w:val="12"/>
          <w:rFonts w:hint="eastAsia" w:ascii="仿宋" w:hAnsi="仿宋" w:eastAsia="仿宋" w:cs="仿宋"/>
          <w:b w:val="0"/>
          <w:color w:val="auto"/>
          <w:spacing w:val="-4"/>
          <w:sz w:val="32"/>
          <w:szCs w:val="32"/>
          <w:highlight w:val="none"/>
          <w:lang w:val="en-US" w:eastAsia="zh-CN"/>
        </w:rPr>
        <w:t>我单位将部门单位整体绩效目标细化分解为具体的绩效指标，一级指标共1条，二级指标共1条，三级指标共4条，其中量化指标条数共4条，所有绩效指标均通过清晰、可衡量的指标值予以体现。</w:t>
      </w:r>
    </w:p>
    <w:p>
      <w:pPr>
        <w:pageBreakBefore w:val="0"/>
        <w:kinsoku/>
        <w:wordWrap/>
        <w:overflowPunct/>
        <w:topLinePunct w:val="0"/>
        <w:autoSpaceDE/>
        <w:autoSpaceDN/>
        <w:bidi w:val="0"/>
        <w:adjustRightInd/>
        <w:spacing w:line="600" w:lineRule="exact"/>
        <w:ind w:firstLine="624" w:firstLineChars="200"/>
        <w:textAlignment w:val="auto"/>
        <w:rPr>
          <w:rStyle w:val="12"/>
          <w:rFonts w:hint="eastAsia" w:ascii="黑体" w:hAnsi="黑体" w:eastAsia="黑体" w:cs="黑体"/>
          <w:b w:val="0"/>
          <w:bCs/>
          <w:color w:val="auto"/>
          <w:spacing w:val="-4"/>
          <w:sz w:val="32"/>
          <w:szCs w:val="32"/>
          <w:highlight w:val="none"/>
          <w:lang w:val="en-US" w:eastAsia="zh-CN"/>
        </w:rPr>
      </w:pPr>
      <w:r>
        <w:rPr>
          <w:rStyle w:val="12"/>
          <w:rFonts w:hint="eastAsia" w:ascii="黑体" w:hAnsi="黑体" w:eastAsia="黑体" w:cs="黑体"/>
          <w:b w:val="0"/>
          <w:bCs/>
          <w:color w:val="auto"/>
          <w:spacing w:val="-4"/>
          <w:sz w:val="32"/>
          <w:szCs w:val="32"/>
          <w:highlight w:val="none"/>
          <w:lang w:val="en-US" w:eastAsia="zh-CN"/>
        </w:rPr>
        <w:t>（一）指标一：运行成本</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2"/>
          <w:rFonts w:hint="eastAsia" w:ascii="仿宋" w:hAnsi="仿宋" w:eastAsia="仿宋" w:cs="仿宋"/>
          <w:b w:val="0"/>
          <w:color w:val="auto"/>
          <w:spacing w:val="-4"/>
          <w:sz w:val="32"/>
          <w:szCs w:val="32"/>
          <w:highlight w:val="none"/>
          <w:lang w:val="en-US" w:eastAsia="zh-CN"/>
        </w:rPr>
      </w:pPr>
      <w:r>
        <w:rPr>
          <w:rStyle w:val="12"/>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2"/>
          <w:rFonts w:hint="eastAsia" w:ascii="黑体" w:hAnsi="黑体" w:eastAsia="黑体" w:cs="黑体"/>
          <w:b w:val="0"/>
          <w:bCs/>
          <w:color w:val="auto"/>
          <w:spacing w:val="-4"/>
          <w:sz w:val="32"/>
          <w:szCs w:val="32"/>
          <w:highlight w:val="none"/>
          <w:lang w:val="en-US" w:eastAsia="zh-CN"/>
        </w:rPr>
      </w:pPr>
      <w:r>
        <w:rPr>
          <w:rStyle w:val="12"/>
          <w:rFonts w:hint="eastAsia" w:ascii="黑体" w:hAnsi="黑体" w:eastAsia="黑体" w:cs="黑体"/>
          <w:b w:val="0"/>
          <w:bCs/>
          <w:color w:val="auto"/>
          <w:spacing w:val="-4"/>
          <w:sz w:val="32"/>
          <w:szCs w:val="32"/>
          <w:highlight w:val="none"/>
          <w:lang w:val="en-US" w:eastAsia="zh-CN"/>
        </w:rPr>
        <w:t>（二）指标二：管理效率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2"/>
          <w:rFonts w:hint="eastAsia" w:ascii="仿宋" w:hAnsi="仿宋" w:eastAsia="仿宋" w:cs="仿宋"/>
          <w:b w:val="0"/>
          <w:color w:val="auto"/>
          <w:spacing w:val="-4"/>
          <w:sz w:val="32"/>
          <w:szCs w:val="32"/>
          <w:highlight w:val="none"/>
          <w:lang w:val="en-US" w:eastAsia="zh-CN"/>
        </w:rPr>
      </w:pPr>
      <w:r>
        <w:rPr>
          <w:rStyle w:val="12"/>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2"/>
          <w:rFonts w:hint="eastAsia" w:ascii="黑体" w:hAnsi="黑体" w:eastAsia="黑体" w:cs="黑体"/>
          <w:b w:val="0"/>
          <w:bCs/>
          <w:color w:val="auto"/>
          <w:spacing w:val="-4"/>
          <w:sz w:val="32"/>
          <w:szCs w:val="32"/>
          <w:highlight w:val="none"/>
          <w:lang w:val="en-US" w:eastAsia="zh-CN"/>
        </w:rPr>
      </w:pPr>
      <w:r>
        <w:rPr>
          <w:rStyle w:val="12"/>
          <w:rFonts w:hint="eastAsia" w:ascii="黑体" w:hAnsi="黑体" w:eastAsia="黑体" w:cs="黑体"/>
          <w:b w:val="0"/>
          <w:bCs/>
          <w:color w:val="auto"/>
          <w:spacing w:val="-4"/>
          <w:sz w:val="32"/>
          <w:szCs w:val="32"/>
          <w:highlight w:val="none"/>
          <w:lang w:val="en-US" w:eastAsia="zh-CN"/>
        </w:rPr>
        <w:t>（三）指标三：履职效能</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2"/>
          <w:rFonts w:hint="eastAsia" w:ascii="仿宋" w:hAnsi="仿宋" w:eastAsia="仿宋" w:cs="仿宋"/>
          <w:b w:val="0"/>
          <w:color w:val="auto"/>
          <w:spacing w:val="-4"/>
          <w:sz w:val="32"/>
          <w:szCs w:val="32"/>
          <w:highlight w:val="none"/>
          <w:lang w:val="en-US" w:eastAsia="zh-CN"/>
        </w:rPr>
      </w:pPr>
      <w:r>
        <w:rPr>
          <w:rStyle w:val="12"/>
          <w:rFonts w:hint="eastAsia" w:ascii="仿宋" w:hAnsi="仿宋" w:eastAsia="仿宋" w:cs="仿宋"/>
          <w:b w:val="0"/>
          <w:color w:val="auto"/>
          <w:spacing w:val="-4"/>
          <w:sz w:val="32"/>
          <w:szCs w:val="32"/>
          <w:highlight w:val="none"/>
          <w:lang w:val="en-US" w:eastAsia="zh-CN"/>
        </w:rPr>
        <w:t>数量指标1：国家医疗保障专项网络系统运行维护数量,预期指标值为：=1套；监控节点完成值：=1套；评价实际完成值：=1套；指标完成率：100.00%；成效分析：</w:t>
      </w:r>
      <w:r>
        <w:rPr>
          <w:rStyle w:val="12"/>
          <w:rFonts w:hint="eastAsia" w:ascii="仿宋" w:hAnsi="仿宋" w:eastAsia="仿宋" w:cs="仿宋"/>
          <w:b w:val="0"/>
          <w:bCs/>
          <w:color w:val="auto"/>
          <w:spacing w:val="-4"/>
          <w:sz w:val="32"/>
          <w:szCs w:val="32"/>
          <w:highlight w:val="none"/>
          <w:lang w:val="en-US" w:eastAsia="zh-CN"/>
        </w:rPr>
        <w:t>通过单位正常运转</w:t>
      </w:r>
      <w:r>
        <w:rPr>
          <w:rStyle w:val="12"/>
          <w:rFonts w:hint="eastAsia" w:ascii="仿宋" w:hAnsi="仿宋" w:eastAsia="仿宋" w:cs="仿宋"/>
          <w:b w:val="0"/>
          <w:color w:val="auto"/>
          <w:spacing w:val="-4"/>
          <w:sz w:val="32"/>
          <w:szCs w:val="32"/>
          <w:highlight w:val="none"/>
          <w:lang w:val="en-US" w:eastAsia="zh-CN"/>
        </w:rPr>
        <w:t>，提高了网络安全医疗保障水平。</w:t>
      </w:r>
    </w:p>
    <w:p>
      <w:pPr>
        <w:pStyle w:val="3"/>
        <w:keepNext/>
        <w:keepLines/>
        <w:pageBreakBefore w:val="0"/>
        <w:widowControl w:val="0"/>
        <w:kinsoku/>
        <w:wordWrap/>
        <w:overflowPunct/>
        <w:topLinePunct w:val="0"/>
        <w:autoSpaceDE/>
        <w:autoSpaceDN/>
        <w:bidi w:val="0"/>
        <w:adjustRightInd/>
        <w:snapToGrid/>
        <w:ind w:firstLine="624" w:firstLineChars="200"/>
        <w:textAlignment w:val="auto"/>
        <w:rPr>
          <w:rFonts w:hint="eastAsia"/>
          <w:color w:val="auto"/>
          <w:highlight w:val="none"/>
          <w:lang w:val="en-US" w:eastAsia="zh-CN"/>
        </w:rPr>
      </w:pPr>
      <w:r>
        <w:rPr>
          <w:rStyle w:val="12"/>
          <w:rFonts w:hint="eastAsia" w:ascii="仿宋" w:hAnsi="仿宋" w:eastAsia="仿宋" w:cs="仿宋"/>
          <w:b w:val="0"/>
          <w:bCs/>
          <w:color w:val="auto"/>
          <w:spacing w:val="-4"/>
          <w:sz w:val="32"/>
          <w:szCs w:val="32"/>
          <w:highlight w:val="none"/>
          <w:lang w:val="en-US" w:eastAsia="zh-CN"/>
        </w:rPr>
        <w:t>数量指标2：全市城乡医疗参保人数,预期指标值为：&gt;=31.7万人；监控节点完成值：=31.61万人；评价实际完成值：=31.71万人；指标完成率：100.00%；成效分析：通过单位正常运转，提高了医疗保险参保率，扩大医保政策宣传。</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2"/>
          <w:rFonts w:hint="eastAsia" w:ascii="仿宋" w:hAnsi="仿宋" w:eastAsia="仿宋" w:cs="仿宋"/>
          <w:b w:val="0"/>
          <w:color w:val="auto"/>
          <w:spacing w:val="-4"/>
          <w:sz w:val="32"/>
          <w:szCs w:val="32"/>
          <w:highlight w:val="none"/>
          <w:lang w:val="en-US" w:eastAsia="zh-CN"/>
        </w:rPr>
      </w:pPr>
      <w:r>
        <w:rPr>
          <w:rStyle w:val="12"/>
          <w:rFonts w:hint="eastAsia" w:ascii="仿宋" w:hAnsi="仿宋" w:eastAsia="仿宋" w:cs="仿宋"/>
          <w:b w:val="0"/>
          <w:color w:val="auto"/>
          <w:spacing w:val="-4"/>
          <w:sz w:val="32"/>
          <w:szCs w:val="32"/>
          <w:highlight w:val="none"/>
          <w:lang w:val="en-US" w:eastAsia="zh-CN"/>
        </w:rPr>
        <w:t>数量指标3：职工医疗保险参保人数,预期指标值为：&gt;=15.56万人；监控节点完成值：=15.71万人；评价实际完成值：=15.74万人；指标完成率：100.00%；成效分析：</w:t>
      </w:r>
      <w:r>
        <w:rPr>
          <w:rStyle w:val="12"/>
          <w:rFonts w:hint="eastAsia" w:ascii="仿宋" w:hAnsi="仿宋" w:eastAsia="仿宋" w:cs="仿宋"/>
          <w:b w:val="0"/>
          <w:bCs/>
          <w:color w:val="auto"/>
          <w:spacing w:val="-4"/>
          <w:sz w:val="32"/>
          <w:szCs w:val="32"/>
          <w:highlight w:val="none"/>
          <w:lang w:val="en-US" w:eastAsia="zh-CN"/>
        </w:rPr>
        <w:t>通过单位正常运转</w:t>
      </w:r>
      <w:r>
        <w:rPr>
          <w:rStyle w:val="12"/>
          <w:rFonts w:hint="eastAsia" w:ascii="仿宋" w:hAnsi="仿宋" w:eastAsia="仿宋" w:cs="仿宋"/>
          <w:b w:val="0"/>
          <w:color w:val="auto"/>
          <w:spacing w:val="-4"/>
          <w:sz w:val="32"/>
          <w:szCs w:val="32"/>
          <w:highlight w:val="none"/>
          <w:lang w:val="en-US" w:eastAsia="zh-CN"/>
        </w:rPr>
        <w:t>，严格落实医疗待遇保障惠民政策，有效减轻患者就医经济压力。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4" w:firstLineChars="200"/>
        <w:jc w:val="both"/>
        <w:textAlignment w:val="auto"/>
        <w:rPr>
          <w:rStyle w:val="12"/>
          <w:rFonts w:hint="eastAsia" w:ascii="仿宋" w:hAnsi="仿宋" w:eastAsia="仿宋" w:cs="仿宋"/>
          <w:b w:val="0"/>
          <w:color w:val="auto"/>
          <w:spacing w:val="-4"/>
          <w:sz w:val="32"/>
          <w:szCs w:val="32"/>
          <w:highlight w:val="none"/>
          <w:lang w:val="en-US" w:eastAsia="zh-CN"/>
        </w:rPr>
      </w:pPr>
      <w:r>
        <w:rPr>
          <w:rStyle w:val="12"/>
          <w:rFonts w:hint="eastAsia" w:ascii="仿宋" w:hAnsi="仿宋" w:eastAsia="仿宋" w:cs="仿宋"/>
          <w:b w:val="0"/>
          <w:color w:val="auto"/>
          <w:spacing w:val="-4"/>
          <w:sz w:val="32"/>
          <w:szCs w:val="32"/>
          <w:highlight w:val="none"/>
          <w:lang w:val="en-US" w:eastAsia="zh-CN"/>
        </w:rPr>
        <w:t>数量指标4：全市城乡医疗保险参保率,预期指标值为：&gt;=98%；监控节点完成值：=99,72%；评价实际完成值：：=98%；指标完成率：100.00%；成效分析：</w:t>
      </w:r>
      <w:r>
        <w:rPr>
          <w:rStyle w:val="12"/>
          <w:rFonts w:hint="eastAsia" w:ascii="仿宋" w:hAnsi="仿宋" w:eastAsia="仿宋" w:cs="仿宋"/>
          <w:b w:val="0"/>
          <w:bCs/>
          <w:color w:val="auto"/>
          <w:spacing w:val="-4"/>
          <w:sz w:val="32"/>
          <w:szCs w:val="32"/>
          <w:highlight w:val="none"/>
          <w:lang w:val="en-US" w:eastAsia="zh-CN"/>
        </w:rPr>
        <w:t>通过单位正常运转</w:t>
      </w:r>
      <w:r>
        <w:rPr>
          <w:rStyle w:val="12"/>
          <w:rFonts w:hint="eastAsia" w:ascii="仿宋" w:hAnsi="仿宋" w:eastAsia="仿宋" w:cs="仿宋"/>
          <w:b w:val="0"/>
          <w:color w:val="auto"/>
          <w:spacing w:val="-4"/>
          <w:sz w:val="32"/>
          <w:szCs w:val="32"/>
          <w:highlight w:val="none"/>
          <w:lang w:val="en-US" w:eastAsia="zh-CN"/>
        </w:rPr>
        <w:t>，加大推进医保经办服务下乡工作力度、加快医保服务经办示范点创建、提高了服务群众的工作，严格落实医疗待遇保障惠民政策，有效减轻患者就医经济压力。</w:t>
      </w:r>
    </w:p>
    <w:p>
      <w:pPr>
        <w:pageBreakBefore w:val="0"/>
        <w:kinsoku/>
        <w:wordWrap/>
        <w:overflowPunct/>
        <w:topLinePunct w:val="0"/>
        <w:autoSpaceDE/>
        <w:autoSpaceDN/>
        <w:bidi w:val="0"/>
        <w:adjustRightInd/>
        <w:spacing w:line="600" w:lineRule="exact"/>
        <w:ind w:firstLine="624" w:firstLineChars="200"/>
        <w:textAlignment w:val="auto"/>
        <w:rPr>
          <w:rStyle w:val="12"/>
          <w:rFonts w:hint="eastAsia" w:ascii="黑体" w:hAnsi="黑体" w:eastAsia="黑体" w:cs="黑体"/>
          <w:b w:val="0"/>
          <w:bCs/>
          <w:color w:val="auto"/>
          <w:spacing w:val="-4"/>
          <w:sz w:val="32"/>
          <w:szCs w:val="32"/>
          <w:highlight w:val="none"/>
          <w:lang w:val="en-US" w:eastAsia="zh-CN"/>
        </w:rPr>
      </w:pPr>
      <w:r>
        <w:rPr>
          <w:rStyle w:val="12"/>
          <w:rFonts w:hint="eastAsia" w:ascii="黑体" w:hAnsi="黑体" w:eastAsia="黑体" w:cs="黑体"/>
          <w:b w:val="0"/>
          <w:bCs/>
          <w:color w:val="auto"/>
          <w:spacing w:val="-4"/>
          <w:sz w:val="32"/>
          <w:szCs w:val="32"/>
          <w:highlight w:val="none"/>
          <w:lang w:val="en-US" w:eastAsia="zh-CN"/>
        </w:rPr>
        <w:t>（四）指标四：社会效益</w:t>
      </w:r>
    </w:p>
    <w:p>
      <w:pPr>
        <w:pageBreakBefore w:val="0"/>
        <w:kinsoku/>
        <w:wordWrap/>
        <w:overflowPunct/>
        <w:topLinePunct w:val="0"/>
        <w:autoSpaceDE/>
        <w:autoSpaceDN/>
        <w:bidi w:val="0"/>
        <w:adjustRightInd/>
        <w:spacing w:line="600" w:lineRule="exact"/>
        <w:ind w:firstLine="624" w:firstLineChars="200"/>
        <w:textAlignment w:val="auto"/>
        <w:rPr>
          <w:rStyle w:val="12"/>
          <w:rFonts w:hint="eastAsia" w:ascii="仿宋" w:hAnsi="仿宋" w:eastAsia="仿宋" w:cs="仿宋"/>
          <w:b w:val="0"/>
          <w:color w:val="auto"/>
          <w:spacing w:val="-4"/>
          <w:sz w:val="32"/>
          <w:szCs w:val="32"/>
          <w:highlight w:val="none"/>
          <w:lang w:val="en-US" w:eastAsia="zh-CN"/>
        </w:rPr>
      </w:pPr>
      <w:r>
        <w:rPr>
          <w:rStyle w:val="12"/>
          <w:rFonts w:hint="eastAsia" w:ascii="仿宋" w:hAnsi="仿宋" w:eastAsia="仿宋" w:cs="仿宋"/>
          <w:b w:val="0"/>
          <w:color w:val="auto"/>
          <w:spacing w:val="-4"/>
          <w:sz w:val="32"/>
          <w:szCs w:val="32"/>
          <w:highlight w:val="none"/>
          <w:lang w:val="en-US" w:eastAsia="zh-CN"/>
        </w:rPr>
        <w:t>无此项指标。</w:t>
      </w:r>
    </w:p>
    <w:p>
      <w:pPr>
        <w:pageBreakBefore w:val="0"/>
        <w:kinsoku/>
        <w:wordWrap/>
        <w:overflowPunct/>
        <w:topLinePunct w:val="0"/>
        <w:autoSpaceDE/>
        <w:autoSpaceDN/>
        <w:bidi w:val="0"/>
        <w:adjustRightInd/>
        <w:spacing w:line="600" w:lineRule="exact"/>
        <w:ind w:firstLine="624" w:firstLineChars="200"/>
        <w:textAlignment w:val="auto"/>
        <w:rPr>
          <w:rStyle w:val="12"/>
          <w:rFonts w:hint="eastAsia" w:ascii="黑体" w:hAnsi="黑体" w:eastAsia="黑体" w:cs="黑体"/>
          <w:b w:val="0"/>
          <w:bCs/>
          <w:color w:val="auto"/>
          <w:spacing w:val="-4"/>
          <w:sz w:val="32"/>
          <w:szCs w:val="32"/>
          <w:highlight w:val="none"/>
          <w:lang w:val="en-US" w:eastAsia="zh-CN"/>
        </w:rPr>
      </w:pPr>
      <w:r>
        <w:rPr>
          <w:rStyle w:val="12"/>
          <w:rFonts w:hint="eastAsia" w:ascii="黑体" w:hAnsi="黑体" w:eastAsia="黑体" w:cs="黑体"/>
          <w:b w:val="0"/>
          <w:bCs/>
          <w:color w:val="auto"/>
          <w:spacing w:val="-4"/>
          <w:sz w:val="32"/>
          <w:szCs w:val="32"/>
          <w:highlight w:val="none"/>
          <w:lang w:val="en-US" w:eastAsia="zh-CN"/>
        </w:rPr>
        <w:t>（五）指标五：可持续发展能力</w:t>
      </w:r>
    </w:p>
    <w:p>
      <w:pPr>
        <w:pageBreakBefore w:val="0"/>
        <w:kinsoku/>
        <w:wordWrap/>
        <w:overflowPunct/>
        <w:topLinePunct w:val="0"/>
        <w:autoSpaceDE/>
        <w:autoSpaceDN/>
        <w:bidi w:val="0"/>
        <w:adjustRightInd/>
        <w:spacing w:line="600" w:lineRule="exact"/>
        <w:ind w:firstLine="624" w:firstLineChars="200"/>
        <w:textAlignment w:val="auto"/>
        <w:rPr>
          <w:rStyle w:val="12"/>
          <w:rFonts w:hint="eastAsia" w:ascii="仿宋" w:hAnsi="仿宋" w:eastAsia="仿宋" w:cs="仿宋"/>
          <w:b w:val="0"/>
          <w:color w:val="auto"/>
          <w:spacing w:val="-4"/>
          <w:sz w:val="32"/>
          <w:szCs w:val="32"/>
          <w:highlight w:val="none"/>
          <w:lang w:val="en-US" w:eastAsia="zh-CN"/>
        </w:rPr>
      </w:pPr>
      <w:r>
        <w:rPr>
          <w:rStyle w:val="12"/>
          <w:rFonts w:hint="eastAsia" w:ascii="仿宋" w:hAnsi="仿宋" w:eastAsia="仿宋" w:cs="仿宋"/>
          <w:b w:val="0"/>
          <w:color w:val="auto"/>
          <w:spacing w:val="-4"/>
          <w:sz w:val="32"/>
          <w:szCs w:val="32"/>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2"/>
          <w:rFonts w:hint="eastAsia" w:ascii="黑体" w:hAnsi="黑体" w:eastAsia="黑体" w:cs="黑体"/>
          <w:b w:val="0"/>
          <w:bCs/>
          <w:color w:val="auto"/>
          <w:spacing w:val="-4"/>
          <w:sz w:val="32"/>
          <w:szCs w:val="32"/>
          <w:highlight w:val="none"/>
          <w:lang w:val="en-US" w:eastAsia="zh-CN"/>
        </w:rPr>
      </w:pPr>
      <w:r>
        <w:rPr>
          <w:rStyle w:val="12"/>
          <w:rFonts w:hint="eastAsia" w:ascii="黑体" w:hAnsi="黑体" w:eastAsia="黑体" w:cs="黑体"/>
          <w:b w:val="0"/>
          <w:bCs/>
          <w:color w:val="auto"/>
          <w:spacing w:val="-4"/>
          <w:sz w:val="32"/>
          <w:szCs w:val="32"/>
          <w:highlight w:val="none"/>
          <w:lang w:val="en-US" w:eastAsia="zh-CN"/>
        </w:rPr>
        <w:t>（六）指标六：服务对象满意度</w:t>
      </w:r>
    </w:p>
    <w:p>
      <w:pPr>
        <w:pageBreakBefore w:val="0"/>
        <w:kinsoku/>
        <w:wordWrap/>
        <w:overflowPunct/>
        <w:topLinePunct w:val="0"/>
        <w:autoSpaceDE/>
        <w:autoSpaceDN/>
        <w:bidi w:val="0"/>
        <w:adjustRightInd/>
        <w:spacing w:line="600" w:lineRule="exact"/>
        <w:ind w:firstLine="624" w:firstLineChars="200"/>
        <w:textAlignment w:val="auto"/>
        <w:rPr>
          <w:rStyle w:val="12"/>
          <w:rFonts w:hint="eastAsia" w:ascii="仿宋" w:hAnsi="仿宋" w:eastAsia="仿宋" w:cs="仿宋"/>
          <w:b w:val="0"/>
          <w:color w:val="auto"/>
          <w:spacing w:val="-4"/>
          <w:sz w:val="32"/>
          <w:szCs w:val="32"/>
          <w:highlight w:val="none"/>
          <w:lang w:val="en-US" w:eastAsia="zh-CN"/>
        </w:rPr>
      </w:pPr>
      <w:r>
        <w:rPr>
          <w:rStyle w:val="12"/>
          <w:rFonts w:hint="eastAsia" w:ascii="仿宋" w:hAnsi="仿宋" w:eastAsia="仿宋" w:cs="仿宋"/>
          <w:b w:val="0"/>
          <w:color w:val="auto"/>
          <w:spacing w:val="-4"/>
          <w:sz w:val="32"/>
          <w:szCs w:val="32"/>
          <w:highlight w:val="none"/>
          <w:lang w:val="en-US" w:eastAsia="zh-CN"/>
        </w:rPr>
        <w:t>无此项指标。</w:t>
      </w:r>
    </w:p>
    <w:p>
      <w:pPr>
        <w:pStyle w:val="15"/>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2"/>
          <w:rFonts w:ascii="黑体" w:hAnsi="黑体" w:eastAsia="黑体"/>
          <w:b w:val="0"/>
          <w:bCs w:val="0"/>
          <w:color w:val="auto"/>
          <w:spacing w:val="-4"/>
          <w:sz w:val="32"/>
          <w:szCs w:val="32"/>
          <w:highlight w:val="none"/>
        </w:rPr>
      </w:pPr>
      <w:r>
        <w:rPr>
          <w:rStyle w:val="12"/>
          <w:rFonts w:hint="eastAsia" w:ascii="黑体" w:hAnsi="黑体" w:eastAsia="黑体"/>
          <w:b w:val="0"/>
          <w:bCs w:val="0"/>
          <w:color w:val="auto"/>
          <w:spacing w:val="-4"/>
          <w:sz w:val="32"/>
          <w:szCs w:val="32"/>
          <w:highlight w:val="none"/>
          <w:lang w:val="en-US" w:eastAsia="zh-CN"/>
        </w:rPr>
        <w:t>四、</w:t>
      </w:r>
      <w:r>
        <w:rPr>
          <w:rStyle w:val="12"/>
          <w:rFonts w:hint="eastAsia" w:ascii="黑体" w:hAnsi="黑体" w:eastAsia="黑体"/>
          <w:b w:val="0"/>
          <w:bCs w:val="0"/>
          <w:color w:val="auto"/>
          <w:spacing w:val="-4"/>
          <w:sz w:val="32"/>
          <w:szCs w:val="32"/>
          <w:highlight w:val="none"/>
          <w:lang w:eastAsia="zh-CN"/>
        </w:rPr>
        <w:t>评价结论</w:t>
      </w:r>
    </w:p>
    <w:p>
      <w:pPr>
        <w:pageBreakBefore w:val="0"/>
        <w:kinsoku/>
        <w:wordWrap/>
        <w:overflowPunct/>
        <w:topLinePunct w:val="0"/>
        <w:autoSpaceDE/>
        <w:autoSpaceDN/>
        <w:bidi w:val="0"/>
        <w:adjustRightInd/>
        <w:spacing w:line="600" w:lineRule="exact"/>
        <w:ind w:firstLine="624" w:firstLineChars="200"/>
        <w:textAlignment w:val="auto"/>
        <w:rPr>
          <w:rStyle w:val="12"/>
          <w:rFonts w:hint="eastAsia" w:ascii="仿宋" w:hAnsi="仿宋" w:eastAsia="仿宋" w:cs="仿宋"/>
          <w:b w:val="0"/>
          <w:bCs/>
          <w:color w:val="auto"/>
          <w:spacing w:val="-4"/>
          <w:sz w:val="32"/>
          <w:szCs w:val="32"/>
          <w:highlight w:val="none"/>
          <w:lang w:val="en-US" w:eastAsia="zh-CN"/>
        </w:rPr>
      </w:pPr>
      <w:r>
        <w:rPr>
          <w:rStyle w:val="12"/>
          <w:rFonts w:hint="eastAsia" w:ascii="仿宋" w:hAnsi="仿宋" w:eastAsia="仿宋" w:cs="仿宋"/>
          <w:b w:val="0"/>
          <w:bCs/>
          <w:color w:val="auto"/>
          <w:spacing w:val="-4"/>
          <w:sz w:val="32"/>
          <w:szCs w:val="32"/>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pageBreakBefore w:val="0"/>
        <w:kinsoku/>
        <w:wordWrap/>
        <w:overflowPunct/>
        <w:topLinePunct w:val="0"/>
        <w:autoSpaceDE/>
        <w:autoSpaceDN/>
        <w:bidi w:val="0"/>
        <w:adjustRightInd/>
        <w:spacing w:line="600" w:lineRule="exact"/>
        <w:ind w:firstLine="624" w:firstLineChars="200"/>
        <w:textAlignment w:val="auto"/>
        <w:rPr>
          <w:rStyle w:val="12"/>
          <w:rFonts w:hint="eastAsia" w:ascii="仿宋" w:hAnsi="仿宋" w:eastAsia="仿宋" w:cs="仿宋"/>
          <w:b w:val="0"/>
          <w:bCs/>
          <w:color w:val="auto"/>
          <w:spacing w:val="-4"/>
          <w:sz w:val="32"/>
          <w:szCs w:val="32"/>
          <w:highlight w:val="none"/>
          <w:lang w:val="en-US" w:eastAsia="zh-CN"/>
        </w:rPr>
      </w:pPr>
      <w:r>
        <w:rPr>
          <w:rStyle w:val="12"/>
          <w:rFonts w:hint="eastAsia" w:ascii="仿宋" w:hAnsi="仿宋" w:eastAsia="仿宋" w:cs="仿宋"/>
          <w:b w:val="0"/>
          <w:bCs/>
          <w:color w:val="auto"/>
          <w:spacing w:val="-4"/>
          <w:sz w:val="32"/>
          <w:szCs w:val="32"/>
          <w:highlight w:val="none"/>
          <w:lang w:val="en-US" w:eastAsia="zh-CN"/>
        </w:rPr>
        <w:t>2023年度部门整体支出绩效自评综合得分100分，评价结果为“优”。</w:t>
      </w:r>
    </w:p>
    <w:p>
      <w:pPr>
        <w:pStyle w:val="15"/>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2"/>
          <w:rFonts w:hint="eastAsia" w:ascii="黑体" w:hAnsi="黑体" w:eastAsia="黑体" w:cs="黑体"/>
          <w:b w:val="0"/>
          <w:bCs w:val="0"/>
          <w:color w:val="auto"/>
          <w:spacing w:val="-4"/>
          <w:sz w:val="32"/>
          <w:szCs w:val="32"/>
          <w:highlight w:val="none"/>
        </w:rPr>
      </w:pPr>
      <w:r>
        <w:rPr>
          <w:rStyle w:val="12"/>
          <w:rFonts w:hint="eastAsia" w:ascii="黑体" w:hAnsi="黑体" w:eastAsia="黑体" w:cs="黑体"/>
          <w:b w:val="0"/>
          <w:bCs w:val="0"/>
          <w:color w:val="auto"/>
          <w:spacing w:val="-4"/>
          <w:sz w:val="32"/>
          <w:szCs w:val="32"/>
          <w:highlight w:val="none"/>
          <w:lang w:val="en-US" w:eastAsia="zh-CN"/>
        </w:rPr>
        <w:t>五、</w:t>
      </w:r>
      <w:r>
        <w:rPr>
          <w:rStyle w:val="12"/>
          <w:rFonts w:hint="eastAsia" w:ascii="黑体" w:hAnsi="黑体" w:eastAsia="黑体" w:cs="黑体"/>
          <w:b w:val="0"/>
          <w:bCs w:val="0"/>
          <w:color w:val="auto"/>
          <w:spacing w:val="-4"/>
          <w:sz w:val="32"/>
          <w:szCs w:val="32"/>
          <w:highlight w:val="none"/>
        </w:rPr>
        <w:t>存在的主要问题</w:t>
      </w:r>
      <w:r>
        <w:rPr>
          <w:rStyle w:val="12"/>
          <w:rFonts w:hint="eastAsia" w:ascii="黑体" w:hAnsi="黑体" w:eastAsia="黑体" w:cs="黑体"/>
          <w:b w:val="0"/>
          <w:bCs w:val="0"/>
          <w:color w:val="auto"/>
          <w:spacing w:val="-4"/>
          <w:sz w:val="32"/>
          <w:szCs w:val="32"/>
          <w:highlight w:val="none"/>
          <w:lang w:eastAsia="zh-CN"/>
        </w:rPr>
        <w:t>及原因分析</w:t>
      </w:r>
    </w:p>
    <w:p>
      <w:pPr>
        <w:pageBreakBefore w:val="0"/>
        <w:kinsoku/>
        <w:wordWrap/>
        <w:overflowPunct/>
        <w:topLinePunct w:val="0"/>
        <w:autoSpaceDE/>
        <w:autoSpaceDN/>
        <w:bidi w:val="0"/>
        <w:adjustRightInd/>
        <w:spacing w:line="600" w:lineRule="exact"/>
        <w:ind w:firstLine="624" w:firstLineChars="200"/>
        <w:textAlignment w:val="auto"/>
        <w:rPr>
          <w:rStyle w:val="12"/>
          <w:rFonts w:hint="default" w:ascii="仿宋" w:hAnsi="仿宋" w:eastAsia="仿宋" w:cs="仿宋"/>
          <w:b w:val="0"/>
          <w:bCs/>
          <w:color w:val="auto"/>
          <w:spacing w:val="-4"/>
          <w:sz w:val="32"/>
          <w:szCs w:val="32"/>
          <w:highlight w:val="none"/>
          <w:lang w:val="en-US" w:eastAsia="zh-CN"/>
        </w:rPr>
      </w:pPr>
      <w:r>
        <w:rPr>
          <w:rStyle w:val="12"/>
          <w:rFonts w:hint="default" w:ascii="仿宋" w:hAnsi="仿宋" w:eastAsia="仿宋" w:cs="仿宋"/>
          <w:b w:val="0"/>
          <w:bCs/>
          <w:color w:val="auto"/>
          <w:spacing w:val="-4"/>
          <w:sz w:val="32"/>
          <w:szCs w:val="32"/>
          <w:highlight w:val="none"/>
          <w:lang w:val="en-US" w:eastAsia="zh-CN"/>
        </w:rPr>
        <w:t>（一）个别干部的医保服务水平和服务能力需进一步提高。医保业务知识培训力度还不够，部分干部文化素质有限，对系统操作还不够熟悉，服务水平还需进一步提高。医保惠民政策调整较快，干部职工对医保报销比例、缴费基数、门诊共济等政策知识掌握与施行“综柜”服务还存在差距。</w:t>
      </w:r>
    </w:p>
    <w:p>
      <w:pPr>
        <w:pageBreakBefore w:val="0"/>
        <w:kinsoku/>
        <w:wordWrap/>
        <w:overflowPunct/>
        <w:topLinePunct w:val="0"/>
        <w:autoSpaceDE/>
        <w:autoSpaceDN/>
        <w:bidi w:val="0"/>
        <w:adjustRightInd/>
        <w:spacing w:line="600" w:lineRule="exact"/>
        <w:ind w:firstLine="624" w:firstLineChars="200"/>
        <w:textAlignment w:val="auto"/>
        <w:rPr>
          <w:rStyle w:val="12"/>
          <w:rFonts w:hint="default" w:ascii="仿宋" w:hAnsi="仿宋" w:eastAsia="仿宋" w:cs="仿宋"/>
          <w:b w:val="0"/>
          <w:bCs/>
          <w:color w:val="auto"/>
          <w:spacing w:val="-4"/>
          <w:sz w:val="32"/>
          <w:szCs w:val="32"/>
          <w:highlight w:val="none"/>
          <w:lang w:val="en-US" w:eastAsia="zh-CN"/>
        </w:rPr>
      </w:pPr>
      <w:r>
        <w:rPr>
          <w:rStyle w:val="12"/>
          <w:rFonts w:hint="default" w:ascii="仿宋" w:hAnsi="仿宋" w:eastAsia="仿宋" w:cs="仿宋"/>
          <w:b w:val="0"/>
          <w:bCs/>
          <w:color w:val="auto"/>
          <w:spacing w:val="-4"/>
          <w:sz w:val="32"/>
          <w:szCs w:val="32"/>
          <w:highlight w:val="none"/>
          <w:lang w:val="en-US" w:eastAsia="zh-CN"/>
        </w:rPr>
        <w:t>（二）医保基金监管力量薄弱。目前基金监管人员只有7名，其中只有3名是医学专业，缺少财务和法律等具有相关专业知识的监管人员。在实际检查督导中，存在对具体检查事项指导性和实际操作性不够，导致在医保基金监督检查中依据不足，震慑作用不明显。</w:t>
      </w:r>
    </w:p>
    <w:p>
      <w:pPr>
        <w:pageBreakBefore w:val="0"/>
        <w:kinsoku/>
        <w:wordWrap/>
        <w:overflowPunct/>
        <w:topLinePunct w:val="0"/>
        <w:autoSpaceDE/>
        <w:autoSpaceDN/>
        <w:bidi w:val="0"/>
        <w:adjustRightInd/>
        <w:spacing w:line="600" w:lineRule="exact"/>
        <w:ind w:firstLine="624" w:firstLineChars="200"/>
        <w:textAlignment w:val="auto"/>
        <w:rPr>
          <w:rStyle w:val="12"/>
          <w:rFonts w:hint="default" w:ascii="仿宋" w:hAnsi="仿宋" w:eastAsia="仿宋" w:cs="仿宋"/>
          <w:b w:val="0"/>
          <w:bCs/>
          <w:color w:val="auto"/>
          <w:spacing w:val="-4"/>
          <w:sz w:val="32"/>
          <w:szCs w:val="32"/>
          <w:highlight w:val="none"/>
          <w:lang w:val="en-US" w:eastAsia="zh-CN"/>
        </w:rPr>
      </w:pPr>
      <w:r>
        <w:rPr>
          <w:rStyle w:val="12"/>
          <w:rFonts w:hint="default" w:ascii="仿宋" w:hAnsi="仿宋" w:eastAsia="仿宋" w:cs="仿宋"/>
          <w:b w:val="0"/>
          <w:bCs/>
          <w:color w:val="auto"/>
          <w:spacing w:val="-4"/>
          <w:sz w:val="32"/>
          <w:szCs w:val="32"/>
          <w:highlight w:val="none"/>
          <w:lang w:val="en-US" w:eastAsia="zh-CN"/>
        </w:rPr>
        <w:t>（三）医保服务示范点未达到创建标准。办公环境硬件设施损坏严重。市社保大厦于2009年建成并投入使用，截至目前已使用第14年，房屋地板砖开裂脱落，上、下水管道漏水，卫生间防水层损坏漏水严重，空调陈旧时常需要维修，2部电梯已损坏停运。按照全国医疗保障服务示范点创建活动的工作要求，我局医保服务大厅未能达到6个区（引导咨询区、自助服务区、自动排队叫号区、等候休息区、柜台受理服务区、多媒体服务区）的要求。</w:t>
      </w:r>
    </w:p>
    <w:p>
      <w:pPr>
        <w:pStyle w:val="15"/>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2"/>
          <w:rFonts w:hint="eastAsia" w:ascii="黑体" w:hAnsi="黑体" w:eastAsia="黑体" w:cs="黑体"/>
          <w:b w:val="0"/>
          <w:bCs w:val="0"/>
          <w:color w:val="auto"/>
          <w:spacing w:val="-4"/>
          <w:sz w:val="32"/>
          <w:szCs w:val="32"/>
          <w:highlight w:val="none"/>
        </w:rPr>
      </w:pPr>
      <w:r>
        <w:rPr>
          <w:rStyle w:val="12"/>
          <w:rFonts w:hint="eastAsia" w:ascii="黑体" w:hAnsi="黑体" w:eastAsia="黑体" w:cs="黑体"/>
          <w:b w:val="0"/>
          <w:bCs w:val="0"/>
          <w:color w:val="auto"/>
          <w:spacing w:val="-4"/>
          <w:sz w:val="32"/>
          <w:szCs w:val="32"/>
          <w:highlight w:val="none"/>
          <w:lang w:val="en-US" w:eastAsia="zh-CN"/>
        </w:rPr>
        <w:t>六、</w:t>
      </w:r>
      <w:r>
        <w:rPr>
          <w:rStyle w:val="12"/>
          <w:rFonts w:hint="eastAsia" w:ascii="黑体" w:hAnsi="黑体" w:eastAsia="黑体" w:cs="黑体"/>
          <w:b w:val="0"/>
          <w:bCs w:val="0"/>
          <w:color w:val="auto"/>
          <w:spacing w:val="-4"/>
          <w:sz w:val="32"/>
          <w:szCs w:val="32"/>
          <w:highlight w:val="none"/>
        </w:rPr>
        <w:t>改进措施和建议</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24" w:firstLineChars="200"/>
        <w:jc w:val="both"/>
        <w:textAlignment w:val="auto"/>
        <w:rPr>
          <w:rStyle w:val="12"/>
          <w:rFonts w:hint="default" w:ascii="仿宋" w:hAnsi="仿宋" w:eastAsia="仿宋" w:cs="仿宋"/>
          <w:b w:val="0"/>
          <w:color w:val="auto"/>
          <w:spacing w:val="-4"/>
          <w:kern w:val="2"/>
          <w:sz w:val="32"/>
          <w:szCs w:val="32"/>
          <w:highlight w:val="none"/>
          <w:lang w:val="en-US" w:eastAsia="zh-CN" w:bidi="ar-SA"/>
        </w:rPr>
      </w:pPr>
      <w:r>
        <w:rPr>
          <w:rStyle w:val="12"/>
          <w:rFonts w:hint="default" w:ascii="仿宋" w:hAnsi="仿宋" w:eastAsia="仿宋" w:cs="仿宋"/>
          <w:b w:val="0"/>
          <w:color w:val="auto"/>
          <w:spacing w:val="-4"/>
          <w:kern w:val="2"/>
          <w:sz w:val="32"/>
          <w:szCs w:val="32"/>
          <w:highlight w:val="none"/>
          <w:lang w:val="en-US" w:eastAsia="zh-CN" w:bidi="ar-SA"/>
        </w:rPr>
        <w:t>（一）扩大医保政策宣传，提高医疗保险参保率。搭建医保“抖音”直播间,组建医保政策咨询团队，通过各种网络手段和印制宣传单、宣传册、宣传海报等形式加大对2024年全民参保政策进行宣传，巩固提高参保覆盖率达到98%以上，困难群体参保100%，实现应参尽参，应保尽保。</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24" w:firstLineChars="200"/>
        <w:jc w:val="both"/>
        <w:textAlignment w:val="auto"/>
        <w:rPr>
          <w:rStyle w:val="12"/>
          <w:rFonts w:hint="default" w:ascii="仿宋" w:hAnsi="仿宋" w:eastAsia="仿宋" w:cs="仿宋"/>
          <w:b w:val="0"/>
          <w:color w:val="auto"/>
          <w:spacing w:val="-4"/>
          <w:kern w:val="2"/>
          <w:sz w:val="32"/>
          <w:szCs w:val="32"/>
          <w:highlight w:val="none"/>
          <w:lang w:val="en-US" w:eastAsia="zh-CN" w:bidi="ar-SA"/>
        </w:rPr>
      </w:pPr>
      <w:r>
        <w:rPr>
          <w:rStyle w:val="12"/>
          <w:rFonts w:hint="default" w:ascii="仿宋" w:hAnsi="仿宋" w:eastAsia="仿宋" w:cs="仿宋"/>
          <w:b w:val="0"/>
          <w:color w:val="auto"/>
          <w:spacing w:val="-4"/>
          <w:kern w:val="2"/>
          <w:sz w:val="32"/>
          <w:szCs w:val="32"/>
          <w:highlight w:val="none"/>
          <w:lang w:val="en-US" w:eastAsia="zh-CN" w:bidi="ar-SA"/>
        </w:rPr>
        <w:t>（</w:t>
      </w:r>
      <w:r>
        <w:rPr>
          <w:rStyle w:val="12"/>
          <w:rFonts w:hint="eastAsia" w:ascii="仿宋" w:hAnsi="仿宋" w:eastAsia="仿宋" w:cs="仿宋"/>
          <w:b w:val="0"/>
          <w:color w:val="auto"/>
          <w:spacing w:val="-4"/>
          <w:kern w:val="2"/>
          <w:sz w:val="32"/>
          <w:szCs w:val="32"/>
          <w:highlight w:val="none"/>
          <w:lang w:val="en-US" w:eastAsia="zh-CN" w:bidi="ar-SA"/>
        </w:rPr>
        <w:t>二</w:t>
      </w:r>
      <w:r>
        <w:rPr>
          <w:rStyle w:val="12"/>
          <w:rFonts w:hint="default" w:ascii="仿宋" w:hAnsi="仿宋" w:eastAsia="仿宋" w:cs="仿宋"/>
          <w:b w:val="0"/>
          <w:color w:val="auto"/>
          <w:spacing w:val="-4"/>
          <w:kern w:val="2"/>
          <w:sz w:val="32"/>
          <w:szCs w:val="32"/>
          <w:highlight w:val="none"/>
          <w:lang w:val="en-US" w:eastAsia="zh-CN" w:bidi="ar-SA"/>
        </w:rPr>
        <w:t>）加强医保基金监管，守好、用好百姓“救命钱”。严格落实医保基金付费前初审、复审机制，实现日常稽核、自查自纠、抽查复查“三个全覆盖”。开展打击欺诈骗保专项整治行动，坚决查处各种违规行为。加强医保基金监管考核管理，推动定点医药机构加强规范管理和自我约束，营造良好的医保基金使用环境。</w:t>
      </w:r>
    </w:p>
    <w:p>
      <w:pPr>
        <w:keepNext w:val="0"/>
        <w:keepLines w:val="0"/>
        <w:pageBreakBefore w:val="0"/>
        <w:kinsoku/>
        <w:wordWrap/>
        <w:overflowPunct/>
        <w:topLinePunct w:val="0"/>
        <w:autoSpaceDE/>
        <w:autoSpaceDN/>
        <w:bidi w:val="0"/>
        <w:adjustRightInd/>
        <w:snapToGrid/>
        <w:spacing w:beforeAutospacing="0" w:afterAutospacing="0" w:line="560" w:lineRule="exact"/>
        <w:ind w:left="0" w:firstLine="624" w:firstLineChars="200"/>
        <w:jc w:val="both"/>
        <w:textAlignment w:val="auto"/>
        <w:rPr>
          <w:rStyle w:val="12"/>
          <w:rFonts w:hint="default" w:ascii="仿宋" w:hAnsi="仿宋" w:eastAsia="仿宋" w:cs="仿宋"/>
          <w:b w:val="0"/>
          <w:color w:val="auto"/>
          <w:spacing w:val="-4"/>
          <w:kern w:val="2"/>
          <w:sz w:val="32"/>
          <w:szCs w:val="32"/>
          <w:highlight w:val="none"/>
          <w:lang w:val="en-US" w:eastAsia="zh-CN" w:bidi="ar-SA"/>
        </w:rPr>
      </w:pPr>
      <w:r>
        <w:rPr>
          <w:rStyle w:val="12"/>
          <w:rFonts w:hint="default" w:ascii="仿宋" w:hAnsi="仿宋" w:eastAsia="仿宋" w:cs="仿宋"/>
          <w:b w:val="0"/>
          <w:color w:val="auto"/>
          <w:spacing w:val="-4"/>
          <w:kern w:val="2"/>
          <w:sz w:val="32"/>
          <w:szCs w:val="32"/>
          <w:highlight w:val="none"/>
          <w:lang w:val="en-US" w:eastAsia="zh-CN" w:bidi="ar-SA"/>
        </w:rPr>
        <w:t>（</w:t>
      </w:r>
      <w:r>
        <w:rPr>
          <w:rStyle w:val="12"/>
          <w:rFonts w:hint="eastAsia" w:ascii="仿宋" w:hAnsi="仿宋" w:eastAsia="仿宋" w:cs="仿宋"/>
          <w:b w:val="0"/>
          <w:color w:val="auto"/>
          <w:spacing w:val="-4"/>
          <w:kern w:val="2"/>
          <w:sz w:val="32"/>
          <w:szCs w:val="32"/>
          <w:highlight w:val="none"/>
          <w:lang w:val="en-US" w:eastAsia="zh-CN" w:bidi="ar-SA"/>
        </w:rPr>
        <w:t>三</w:t>
      </w:r>
      <w:r>
        <w:rPr>
          <w:rStyle w:val="12"/>
          <w:rFonts w:hint="default" w:ascii="仿宋" w:hAnsi="仿宋" w:eastAsia="仿宋" w:cs="仿宋"/>
          <w:b w:val="0"/>
          <w:color w:val="auto"/>
          <w:spacing w:val="-4"/>
          <w:kern w:val="2"/>
          <w:sz w:val="32"/>
          <w:szCs w:val="32"/>
          <w:highlight w:val="none"/>
          <w:lang w:val="en-US" w:eastAsia="zh-CN" w:bidi="ar-SA"/>
        </w:rPr>
        <w:t xml:space="preserve">）以民生保障为导向，落实待遇保障制度。按照自治州DRG三年行动方案，实行医疗机构、病种全覆盖，优化完善特病单议等与深化支付方式改革相配套的工作机制。扎实推进职工医保门诊共济改革。常态化推进医药耗材集中采购政策，更好地满足患者和医疗机构需求。优化生育医疗保障工作支持三孩政策，做实新生儿落地参保工作，推动生育津贴“一站式”结算。持续推进跨省异地就医住院、普通门诊和门诊慢特病医疗费用直接结算工作，有效解决跨省异地就医人员“垫资”“跑腿”问题。 </w:t>
      </w:r>
    </w:p>
    <w:p>
      <w:pPr>
        <w:keepNext w:val="0"/>
        <w:keepLines w:val="0"/>
        <w:pageBreakBefore w:val="0"/>
        <w:kinsoku/>
        <w:wordWrap/>
        <w:overflowPunct/>
        <w:topLinePunct w:val="0"/>
        <w:autoSpaceDE/>
        <w:autoSpaceDN/>
        <w:bidi w:val="0"/>
        <w:adjustRightInd/>
        <w:snapToGrid/>
        <w:spacing w:beforeAutospacing="0" w:afterAutospacing="0" w:line="560" w:lineRule="exact"/>
        <w:ind w:left="0" w:firstLine="624" w:firstLineChars="200"/>
        <w:jc w:val="both"/>
        <w:textAlignment w:val="auto"/>
        <w:rPr>
          <w:rStyle w:val="12"/>
          <w:rFonts w:hint="default" w:ascii="仿宋" w:hAnsi="仿宋" w:eastAsia="仿宋" w:cs="仿宋"/>
          <w:b w:val="0"/>
          <w:color w:val="auto"/>
          <w:spacing w:val="-4"/>
          <w:kern w:val="2"/>
          <w:sz w:val="32"/>
          <w:szCs w:val="32"/>
          <w:highlight w:val="none"/>
          <w:lang w:val="en-US" w:eastAsia="zh-CN" w:bidi="ar-SA"/>
        </w:rPr>
      </w:pPr>
      <w:r>
        <w:rPr>
          <w:rStyle w:val="12"/>
          <w:rFonts w:hint="default" w:ascii="仿宋" w:hAnsi="仿宋" w:eastAsia="仿宋" w:cs="仿宋"/>
          <w:b w:val="0"/>
          <w:color w:val="auto"/>
          <w:spacing w:val="-4"/>
          <w:kern w:val="2"/>
          <w:sz w:val="32"/>
          <w:szCs w:val="32"/>
          <w:highlight w:val="none"/>
          <w:lang w:val="en-US" w:eastAsia="zh-CN" w:bidi="ar-SA"/>
        </w:rPr>
        <w:t>（</w:t>
      </w:r>
      <w:r>
        <w:rPr>
          <w:rStyle w:val="12"/>
          <w:rFonts w:hint="eastAsia" w:ascii="仿宋" w:hAnsi="仿宋" w:eastAsia="仿宋" w:cs="仿宋"/>
          <w:b w:val="0"/>
          <w:color w:val="auto"/>
          <w:spacing w:val="-4"/>
          <w:kern w:val="2"/>
          <w:sz w:val="32"/>
          <w:szCs w:val="32"/>
          <w:highlight w:val="none"/>
          <w:lang w:val="en-US" w:eastAsia="zh-CN" w:bidi="ar-SA"/>
        </w:rPr>
        <w:t>四</w:t>
      </w:r>
      <w:r>
        <w:rPr>
          <w:rStyle w:val="12"/>
          <w:rFonts w:hint="default" w:ascii="仿宋" w:hAnsi="仿宋" w:eastAsia="仿宋" w:cs="仿宋"/>
          <w:b w:val="0"/>
          <w:color w:val="auto"/>
          <w:spacing w:val="-4"/>
          <w:kern w:val="2"/>
          <w:sz w:val="32"/>
          <w:szCs w:val="32"/>
          <w:highlight w:val="none"/>
          <w:lang w:val="en-US" w:eastAsia="zh-CN" w:bidi="ar-SA"/>
        </w:rPr>
        <w:t>）大力推进医疗救助经办服务体系下沉基层。夯实乡村两级医疗保障服务能力，加大“零星报销”工作力度，做好因病有致贫风险人员医疗费用的筛查摸排，发挥乡村医保专干作用，开展医疗救助报销资料代收，方便群众“就近办”，切实打通医保服务“最后一公里”。</w:t>
      </w:r>
    </w:p>
    <w:p>
      <w:pPr>
        <w:pStyle w:val="15"/>
        <w:keepNext w:val="0"/>
        <w:keepLines w:val="0"/>
        <w:pageBreakBefore w:val="0"/>
        <w:widowControl w:val="0"/>
        <w:numPr>
          <w:ilvl w:val="0"/>
          <w:numId w:val="0"/>
        </w:numPr>
        <w:kinsoku/>
        <w:wordWrap/>
        <w:overflowPunct/>
        <w:topLinePunct w:val="0"/>
        <w:autoSpaceDE/>
        <w:autoSpaceDN/>
        <w:bidi w:val="0"/>
        <w:adjustRightInd/>
        <w:snapToGrid w:val="0"/>
        <w:spacing w:line="600" w:lineRule="exact"/>
        <w:ind w:firstLine="624" w:firstLineChars="200"/>
        <w:textAlignment w:val="auto"/>
        <w:rPr>
          <w:rStyle w:val="12"/>
          <w:rFonts w:hint="eastAsia" w:ascii="黑体" w:hAnsi="黑体" w:eastAsia="黑体" w:cs="黑体"/>
          <w:b w:val="0"/>
          <w:bCs w:val="0"/>
          <w:color w:val="auto"/>
          <w:spacing w:val="-4"/>
          <w:sz w:val="32"/>
          <w:szCs w:val="32"/>
          <w:highlight w:val="none"/>
        </w:rPr>
      </w:pPr>
      <w:r>
        <w:rPr>
          <w:rStyle w:val="12"/>
          <w:rFonts w:hint="eastAsia" w:ascii="黑体" w:hAnsi="黑体" w:eastAsia="黑体" w:cs="黑体"/>
          <w:b w:val="0"/>
          <w:bCs w:val="0"/>
          <w:color w:val="auto"/>
          <w:spacing w:val="-4"/>
          <w:sz w:val="32"/>
          <w:szCs w:val="32"/>
          <w:highlight w:val="none"/>
          <w:lang w:val="en-US" w:eastAsia="zh-CN"/>
        </w:rPr>
        <w:t>七、</w:t>
      </w:r>
      <w:r>
        <w:rPr>
          <w:rStyle w:val="12"/>
          <w:rFonts w:hint="eastAsia" w:ascii="黑体" w:hAnsi="黑体" w:eastAsia="黑体" w:cs="黑体"/>
          <w:b w:val="0"/>
          <w:bCs w:val="0"/>
          <w:color w:val="auto"/>
          <w:spacing w:val="-4"/>
          <w:sz w:val="32"/>
          <w:szCs w:val="32"/>
          <w:highlight w:val="none"/>
        </w:rPr>
        <w:t>附表：《部门整体支出绩效自评表》</w:t>
      </w:r>
    </w:p>
    <w:sectPr>
      <w:headerReference r:id="rId4" w:type="first"/>
      <w:footerReference r:id="rId6" w:type="first"/>
      <w:headerReference r:id="rId3" w:type="even"/>
      <w:footerReference r:id="rId5" w:type="even"/>
      <w:pgSz w:w="11906" w:h="16838"/>
      <w:pgMar w:top="1440" w:right="1800" w:bottom="1440" w:left="1800"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B972985-92AB-4F63-A429-47CE5CA6217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等线">
    <w:altName w:val="微软雅黑"/>
    <w:panose1 w:val="02010600030101010101"/>
    <w:charset w:val="7A"/>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embedRegular r:id="rId2" w:fontKey="{A81868AB-685F-4DE0-B2BB-226BCAF1E276}"/>
  </w:font>
  <w:font w:name="仿宋_GB2312">
    <w:panose1 w:val="02010609030101010101"/>
    <w:charset w:val="86"/>
    <w:family w:val="modern"/>
    <w:pitch w:val="default"/>
    <w:sig w:usb0="00000001" w:usb1="080E0000" w:usb2="00000000" w:usb3="00000000" w:csb0="00040000" w:csb1="00000000"/>
    <w:embedRegular r:id="rId3" w:fontKey="{24516196-C00E-4739-B1EB-754042115C19}"/>
  </w:font>
  <w:font w:name="楷体">
    <w:panose1 w:val="02010609060101010101"/>
    <w:charset w:val="86"/>
    <w:family w:val="modern"/>
    <w:pitch w:val="default"/>
    <w:sig w:usb0="800002BF" w:usb1="38CF7CFA" w:usb2="00000016" w:usb3="00000000" w:csb0="00040001" w:csb1="00000000"/>
    <w:embedRegular r:id="rId4" w:fontKey="{37584A90-98F6-4C4B-9D17-AFFADCDFE5E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kM2Y3OTk4YWJkMTlhY2M0M2NiNzUzNWU4NjU4YjYifQ=="/>
    <w:docVar w:name="KSO_WPS_MARK_KEY" w:val="40e95650-004b-4697-ae2b-25bffeeac740"/>
  </w:docVars>
  <w:rsids>
    <w:rsidRoot w:val="00633862"/>
    <w:rsid w:val="00092509"/>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121891"/>
    <w:rsid w:val="016D0077"/>
    <w:rsid w:val="02355837"/>
    <w:rsid w:val="023B0973"/>
    <w:rsid w:val="02610413"/>
    <w:rsid w:val="02F163A2"/>
    <w:rsid w:val="02FE786C"/>
    <w:rsid w:val="03341650"/>
    <w:rsid w:val="036F2FCB"/>
    <w:rsid w:val="03B2599D"/>
    <w:rsid w:val="04392417"/>
    <w:rsid w:val="043C5F8E"/>
    <w:rsid w:val="049941F3"/>
    <w:rsid w:val="04A60F90"/>
    <w:rsid w:val="04D2103C"/>
    <w:rsid w:val="04D550AF"/>
    <w:rsid w:val="051536FE"/>
    <w:rsid w:val="06B83B39"/>
    <w:rsid w:val="06DE29E2"/>
    <w:rsid w:val="06E11AE9"/>
    <w:rsid w:val="071579E5"/>
    <w:rsid w:val="07702E6D"/>
    <w:rsid w:val="07A86AAB"/>
    <w:rsid w:val="07C65825"/>
    <w:rsid w:val="087B5F6E"/>
    <w:rsid w:val="08F655F4"/>
    <w:rsid w:val="09067414"/>
    <w:rsid w:val="09170A81"/>
    <w:rsid w:val="09216B15"/>
    <w:rsid w:val="0A2F5262"/>
    <w:rsid w:val="0AC27E84"/>
    <w:rsid w:val="0B0F5B25"/>
    <w:rsid w:val="0BD256C9"/>
    <w:rsid w:val="0BFF2A12"/>
    <w:rsid w:val="0CEA6115"/>
    <w:rsid w:val="0D3F0613"/>
    <w:rsid w:val="0D617282"/>
    <w:rsid w:val="0DEE0F90"/>
    <w:rsid w:val="0F2C35C8"/>
    <w:rsid w:val="0F661726"/>
    <w:rsid w:val="0F772EC6"/>
    <w:rsid w:val="0F877334"/>
    <w:rsid w:val="10182B28"/>
    <w:rsid w:val="109160DD"/>
    <w:rsid w:val="10947BCD"/>
    <w:rsid w:val="114B3E5E"/>
    <w:rsid w:val="115E3FEE"/>
    <w:rsid w:val="116B384E"/>
    <w:rsid w:val="11DD16C8"/>
    <w:rsid w:val="127A77C1"/>
    <w:rsid w:val="130A20A3"/>
    <w:rsid w:val="13352CE1"/>
    <w:rsid w:val="13854144"/>
    <w:rsid w:val="13BE22CE"/>
    <w:rsid w:val="13E07D60"/>
    <w:rsid w:val="14FC074D"/>
    <w:rsid w:val="150177FB"/>
    <w:rsid w:val="15875F52"/>
    <w:rsid w:val="15B73666"/>
    <w:rsid w:val="15C42D02"/>
    <w:rsid w:val="160C0911"/>
    <w:rsid w:val="168A2EA6"/>
    <w:rsid w:val="17171557"/>
    <w:rsid w:val="179F35BB"/>
    <w:rsid w:val="17D5194F"/>
    <w:rsid w:val="180A4FDB"/>
    <w:rsid w:val="1840056E"/>
    <w:rsid w:val="18DA6CE0"/>
    <w:rsid w:val="192177D8"/>
    <w:rsid w:val="196A001E"/>
    <w:rsid w:val="198331C0"/>
    <w:rsid w:val="19AD1CFF"/>
    <w:rsid w:val="19C92FDD"/>
    <w:rsid w:val="19DB061A"/>
    <w:rsid w:val="19E576EB"/>
    <w:rsid w:val="19FF664E"/>
    <w:rsid w:val="1A091F78"/>
    <w:rsid w:val="1A5F124B"/>
    <w:rsid w:val="1A6D6D72"/>
    <w:rsid w:val="1AEB4D61"/>
    <w:rsid w:val="1C230AC0"/>
    <w:rsid w:val="1C615CEF"/>
    <w:rsid w:val="1C6A545F"/>
    <w:rsid w:val="1CDA72AF"/>
    <w:rsid w:val="1D632B53"/>
    <w:rsid w:val="1D6D0123"/>
    <w:rsid w:val="1D7602A9"/>
    <w:rsid w:val="1DC83D3D"/>
    <w:rsid w:val="1E234C86"/>
    <w:rsid w:val="1E613949"/>
    <w:rsid w:val="1EAE0073"/>
    <w:rsid w:val="1F195A2C"/>
    <w:rsid w:val="205102FB"/>
    <w:rsid w:val="2059673D"/>
    <w:rsid w:val="20762FC4"/>
    <w:rsid w:val="20860A28"/>
    <w:rsid w:val="21197683"/>
    <w:rsid w:val="212C60E2"/>
    <w:rsid w:val="217001E2"/>
    <w:rsid w:val="21DB6E7F"/>
    <w:rsid w:val="21DE15EF"/>
    <w:rsid w:val="22600256"/>
    <w:rsid w:val="23021A8B"/>
    <w:rsid w:val="2320540D"/>
    <w:rsid w:val="23254B60"/>
    <w:rsid w:val="236E0539"/>
    <w:rsid w:val="23BF7974"/>
    <w:rsid w:val="23E6478B"/>
    <w:rsid w:val="2422471A"/>
    <w:rsid w:val="24251C36"/>
    <w:rsid w:val="24A85EE5"/>
    <w:rsid w:val="24DB72C2"/>
    <w:rsid w:val="250550E5"/>
    <w:rsid w:val="252A06A8"/>
    <w:rsid w:val="263962DE"/>
    <w:rsid w:val="26492075"/>
    <w:rsid w:val="27435A51"/>
    <w:rsid w:val="276460F3"/>
    <w:rsid w:val="27660FAF"/>
    <w:rsid w:val="277166D1"/>
    <w:rsid w:val="277B4318"/>
    <w:rsid w:val="27B7194D"/>
    <w:rsid w:val="27E37B45"/>
    <w:rsid w:val="280600C8"/>
    <w:rsid w:val="28081174"/>
    <w:rsid w:val="283261F1"/>
    <w:rsid w:val="28481571"/>
    <w:rsid w:val="285A74F6"/>
    <w:rsid w:val="28722F64"/>
    <w:rsid w:val="289B5D70"/>
    <w:rsid w:val="290A1EBC"/>
    <w:rsid w:val="296B40D0"/>
    <w:rsid w:val="29980ADF"/>
    <w:rsid w:val="29B460DC"/>
    <w:rsid w:val="29D532D8"/>
    <w:rsid w:val="29E74DB9"/>
    <w:rsid w:val="2A0B6FEB"/>
    <w:rsid w:val="2A1536D4"/>
    <w:rsid w:val="2A2A3694"/>
    <w:rsid w:val="2A6B1740"/>
    <w:rsid w:val="2AB71864"/>
    <w:rsid w:val="2AD30362"/>
    <w:rsid w:val="2AD57045"/>
    <w:rsid w:val="2B161A0E"/>
    <w:rsid w:val="2B1D67DB"/>
    <w:rsid w:val="2B2D4A4E"/>
    <w:rsid w:val="2B2D7144"/>
    <w:rsid w:val="2BCA3DF7"/>
    <w:rsid w:val="2BFA5278"/>
    <w:rsid w:val="2C077995"/>
    <w:rsid w:val="2C3F44FD"/>
    <w:rsid w:val="2C8903AA"/>
    <w:rsid w:val="2CD01740"/>
    <w:rsid w:val="2CE43832"/>
    <w:rsid w:val="2D1F67AE"/>
    <w:rsid w:val="2DAA6B58"/>
    <w:rsid w:val="2DB034FA"/>
    <w:rsid w:val="2E1E430F"/>
    <w:rsid w:val="2E4A4A48"/>
    <w:rsid w:val="2EC15BD9"/>
    <w:rsid w:val="2F7075FF"/>
    <w:rsid w:val="2F8715FA"/>
    <w:rsid w:val="2F967065"/>
    <w:rsid w:val="2F9B0B20"/>
    <w:rsid w:val="2FB43990"/>
    <w:rsid w:val="2FC040E2"/>
    <w:rsid w:val="30143D58"/>
    <w:rsid w:val="30240D0F"/>
    <w:rsid w:val="308158E7"/>
    <w:rsid w:val="309817B5"/>
    <w:rsid w:val="30A86679"/>
    <w:rsid w:val="31336B36"/>
    <w:rsid w:val="313905F0"/>
    <w:rsid w:val="31505F30"/>
    <w:rsid w:val="3177520D"/>
    <w:rsid w:val="31C7249B"/>
    <w:rsid w:val="31FB7654"/>
    <w:rsid w:val="32565D7D"/>
    <w:rsid w:val="336E47B8"/>
    <w:rsid w:val="337D2302"/>
    <w:rsid w:val="33935522"/>
    <w:rsid w:val="33DE0EF4"/>
    <w:rsid w:val="3416678C"/>
    <w:rsid w:val="34486A39"/>
    <w:rsid w:val="34C13400"/>
    <w:rsid w:val="34C208FD"/>
    <w:rsid w:val="34F32864"/>
    <w:rsid w:val="35386E11"/>
    <w:rsid w:val="35612ABD"/>
    <w:rsid w:val="368772CD"/>
    <w:rsid w:val="375B2943"/>
    <w:rsid w:val="376E6B1A"/>
    <w:rsid w:val="38086A4E"/>
    <w:rsid w:val="382471D8"/>
    <w:rsid w:val="386B4E07"/>
    <w:rsid w:val="38C32119"/>
    <w:rsid w:val="38EE054F"/>
    <w:rsid w:val="39440A0C"/>
    <w:rsid w:val="398443D3"/>
    <w:rsid w:val="398C3287"/>
    <w:rsid w:val="39A60AF6"/>
    <w:rsid w:val="3A4F0030"/>
    <w:rsid w:val="3AA12D62"/>
    <w:rsid w:val="3AFA0DF0"/>
    <w:rsid w:val="3B2319C9"/>
    <w:rsid w:val="3B5D5890"/>
    <w:rsid w:val="3BA6683D"/>
    <w:rsid w:val="3BC431AC"/>
    <w:rsid w:val="3C012639"/>
    <w:rsid w:val="3DA52B6A"/>
    <w:rsid w:val="3E5C147A"/>
    <w:rsid w:val="3E833FCF"/>
    <w:rsid w:val="3EE3321B"/>
    <w:rsid w:val="3EE93EED"/>
    <w:rsid w:val="3EFE3365"/>
    <w:rsid w:val="3F177A97"/>
    <w:rsid w:val="3FEC682B"/>
    <w:rsid w:val="3FF57BF1"/>
    <w:rsid w:val="41590DEA"/>
    <w:rsid w:val="416C231C"/>
    <w:rsid w:val="417567E6"/>
    <w:rsid w:val="41C31810"/>
    <w:rsid w:val="41D659E7"/>
    <w:rsid w:val="42240607"/>
    <w:rsid w:val="428A15BF"/>
    <w:rsid w:val="42BB7663"/>
    <w:rsid w:val="432A3936"/>
    <w:rsid w:val="434765EB"/>
    <w:rsid w:val="43A3164E"/>
    <w:rsid w:val="43C43532"/>
    <w:rsid w:val="43F77637"/>
    <w:rsid w:val="44332E1A"/>
    <w:rsid w:val="44692B43"/>
    <w:rsid w:val="44BF2CE3"/>
    <w:rsid w:val="44BF6C07"/>
    <w:rsid w:val="44FF0DB1"/>
    <w:rsid w:val="45E76128"/>
    <w:rsid w:val="462C7B1B"/>
    <w:rsid w:val="46BF2EEE"/>
    <w:rsid w:val="47013FF5"/>
    <w:rsid w:val="484A2C8B"/>
    <w:rsid w:val="48500FEB"/>
    <w:rsid w:val="49284D7B"/>
    <w:rsid w:val="49487285"/>
    <w:rsid w:val="49543DC1"/>
    <w:rsid w:val="49EA64D4"/>
    <w:rsid w:val="4A0F39E7"/>
    <w:rsid w:val="4AB663B6"/>
    <w:rsid w:val="4AD73910"/>
    <w:rsid w:val="4B364032"/>
    <w:rsid w:val="4B3B68BB"/>
    <w:rsid w:val="4B3F45FD"/>
    <w:rsid w:val="4B443785"/>
    <w:rsid w:val="4B537C75"/>
    <w:rsid w:val="4BE53646"/>
    <w:rsid w:val="4C431ECB"/>
    <w:rsid w:val="4C957630"/>
    <w:rsid w:val="4CC33C9F"/>
    <w:rsid w:val="4E760D0B"/>
    <w:rsid w:val="4E8F65E3"/>
    <w:rsid w:val="4E972625"/>
    <w:rsid w:val="4E976C7C"/>
    <w:rsid w:val="4EC015B1"/>
    <w:rsid w:val="4EC80245"/>
    <w:rsid w:val="4ED65AC3"/>
    <w:rsid w:val="4F596A69"/>
    <w:rsid w:val="4FCE41A2"/>
    <w:rsid w:val="50063DD3"/>
    <w:rsid w:val="504133D8"/>
    <w:rsid w:val="505863A4"/>
    <w:rsid w:val="50591CBD"/>
    <w:rsid w:val="50A240F7"/>
    <w:rsid w:val="50A76ECD"/>
    <w:rsid w:val="50CF1F80"/>
    <w:rsid w:val="511856D5"/>
    <w:rsid w:val="517A1818"/>
    <w:rsid w:val="51971C1E"/>
    <w:rsid w:val="51D860AE"/>
    <w:rsid w:val="51FF2E33"/>
    <w:rsid w:val="525877BC"/>
    <w:rsid w:val="5272504D"/>
    <w:rsid w:val="52B70F1D"/>
    <w:rsid w:val="52CA50F4"/>
    <w:rsid w:val="530F48B5"/>
    <w:rsid w:val="5322283B"/>
    <w:rsid w:val="534C3D5B"/>
    <w:rsid w:val="5435659E"/>
    <w:rsid w:val="543D24BF"/>
    <w:rsid w:val="548754B8"/>
    <w:rsid w:val="54CA318A"/>
    <w:rsid w:val="55517AB0"/>
    <w:rsid w:val="57192BB8"/>
    <w:rsid w:val="5734671F"/>
    <w:rsid w:val="57423EBA"/>
    <w:rsid w:val="57813298"/>
    <w:rsid w:val="57AE7CE9"/>
    <w:rsid w:val="57BB500C"/>
    <w:rsid w:val="58753EBA"/>
    <w:rsid w:val="58E426FC"/>
    <w:rsid w:val="58FC3B2E"/>
    <w:rsid w:val="59063548"/>
    <w:rsid w:val="5A6776CD"/>
    <w:rsid w:val="5A902780"/>
    <w:rsid w:val="5ADD1E8F"/>
    <w:rsid w:val="5AE6303A"/>
    <w:rsid w:val="5B155A7C"/>
    <w:rsid w:val="5B442B97"/>
    <w:rsid w:val="5B745BFD"/>
    <w:rsid w:val="5B977B3E"/>
    <w:rsid w:val="5C115B42"/>
    <w:rsid w:val="5C186ED1"/>
    <w:rsid w:val="5C5B0B6B"/>
    <w:rsid w:val="5C8F0D4E"/>
    <w:rsid w:val="5CB643E4"/>
    <w:rsid w:val="5D8D11F8"/>
    <w:rsid w:val="5D906018"/>
    <w:rsid w:val="5E2D5305"/>
    <w:rsid w:val="5F1D65AC"/>
    <w:rsid w:val="5F230066"/>
    <w:rsid w:val="5F41229A"/>
    <w:rsid w:val="5F814D8D"/>
    <w:rsid w:val="5FA47678"/>
    <w:rsid w:val="5FE455B0"/>
    <w:rsid w:val="60504E56"/>
    <w:rsid w:val="60535261"/>
    <w:rsid w:val="611A7247"/>
    <w:rsid w:val="61217245"/>
    <w:rsid w:val="62105ED3"/>
    <w:rsid w:val="626764BC"/>
    <w:rsid w:val="627A5057"/>
    <w:rsid w:val="62874BFA"/>
    <w:rsid w:val="62A033DD"/>
    <w:rsid w:val="62B113CD"/>
    <w:rsid w:val="62D376AD"/>
    <w:rsid w:val="63002758"/>
    <w:rsid w:val="63886101"/>
    <w:rsid w:val="63E072F9"/>
    <w:rsid w:val="63E738F2"/>
    <w:rsid w:val="648B2856"/>
    <w:rsid w:val="64AD2180"/>
    <w:rsid w:val="64F46001"/>
    <w:rsid w:val="658E5B0E"/>
    <w:rsid w:val="65CE6852"/>
    <w:rsid w:val="65D86017"/>
    <w:rsid w:val="65E6594A"/>
    <w:rsid w:val="660E1EAC"/>
    <w:rsid w:val="661600DA"/>
    <w:rsid w:val="66DF5346"/>
    <w:rsid w:val="66E14AAB"/>
    <w:rsid w:val="6736630B"/>
    <w:rsid w:val="676B44A8"/>
    <w:rsid w:val="67EE0E11"/>
    <w:rsid w:val="68DF3109"/>
    <w:rsid w:val="693F2885"/>
    <w:rsid w:val="699F5DE9"/>
    <w:rsid w:val="69A753F0"/>
    <w:rsid w:val="69FD14B4"/>
    <w:rsid w:val="6A9776F8"/>
    <w:rsid w:val="6AAF0A00"/>
    <w:rsid w:val="6AEF34F2"/>
    <w:rsid w:val="6B234F4A"/>
    <w:rsid w:val="6B827EC3"/>
    <w:rsid w:val="6C5F0204"/>
    <w:rsid w:val="6C69186D"/>
    <w:rsid w:val="6C7D443F"/>
    <w:rsid w:val="6C8851EE"/>
    <w:rsid w:val="6CA36342"/>
    <w:rsid w:val="6CCF1622"/>
    <w:rsid w:val="6CE7035E"/>
    <w:rsid w:val="6CED57E2"/>
    <w:rsid w:val="6DB1246A"/>
    <w:rsid w:val="6EAE5472"/>
    <w:rsid w:val="6EBD7464"/>
    <w:rsid w:val="702F5608"/>
    <w:rsid w:val="708F2CC4"/>
    <w:rsid w:val="709444F0"/>
    <w:rsid w:val="71182116"/>
    <w:rsid w:val="71205936"/>
    <w:rsid w:val="71477CCB"/>
    <w:rsid w:val="7178018F"/>
    <w:rsid w:val="71BA40BB"/>
    <w:rsid w:val="71CD052F"/>
    <w:rsid w:val="73740A39"/>
    <w:rsid w:val="73D43285"/>
    <w:rsid w:val="742B746E"/>
    <w:rsid w:val="74736F42"/>
    <w:rsid w:val="74CA7F29"/>
    <w:rsid w:val="752B1D3E"/>
    <w:rsid w:val="75913D16"/>
    <w:rsid w:val="763C0048"/>
    <w:rsid w:val="77135965"/>
    <w:rsid w:val="77262B54"/>
    <w:rsid w:val="772D4414"/>
    <w:rsid w:val="773A5C43"/>
    <w:rsid w:val="775947BB"/>
    <w:rsid w:val="77AD276B"/>
    <w:rsid w:val="77B87094"/>
    <w:rsid w:val="77C96E08"/>
    <w:rsid w:val="78E27C50"/>
    <w:rsid w:val="79500F4C"/>
    <w:rsid w:val="796E05AD"/>
    <w:rsid w:val="7986195D"/>
    <w:rsid w:val="79E005EE"/>
    <w:rsid w:val="7A044DC4"/>
    <w:rsid w:val="7A74543A"/>
    <w:rsid w:val="7A865511"/>
    <w:rsid w:val="7AA20E97"/>
    <w:rsid w:val="7AAA4D40"/>
    <w:rsid w:val="7ABC4A73"/>
    <w:rsid w:val="7AC10876"/>
    <w:rsid w:val="7B2F16E9"/>
    <w:rsid w:val="7B334ED0"/>
    <w:rsid w:val="7C4B6886"/>
    <w:rsid w:val="7C71236F"/>
    <w:rsid w:val="7C7B25BC"/>
    <w:rsid w:val="7C8D2B6B"/>
    <w:rsid w:val="7D360B0D"/>
    <w:rsid w:val="7D55069E"/>
    <w:rsid w:val="7D670C49"/>
    <w:rsid w:val="7D711B45"/>
    <w:rsid w:val="7DAB4110"/>
    <w:rsid w:val="7E5F5E41"/>
    <w:rsid w:val="7E78432D"/>
    <w:rsid w:val="7E8E02D3"/>
    <w:rsid w:val="7EA902C5"/>
    <w:rsid w:val="7EAA3560"/>
    <w:rsid w:val="7ECF553C"/>
    <w:rsid w:val="7ED10D4F"/>
    <w:rsid w:val="7EF10E29"/>
    <w:rsid w:val="7F5476B9"/>
    <w:rsid w:val="7F741DC0"/>
    <w:rsid w:val="7FB36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qFormat="1" w:unhideWhenUsed="0" w:uiPriority="0" w:semiHidden="0"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qFormat/>
    <w:uiPriority w:val="0"/>
    <w:pPr>
      <w:keepNext/>
      <w:keepLines/>
      <w:spacing w:line="560" w:lineRule="exact"/>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customStyle="1" w:styleId="2">
    <w:name w:val="Char"/>
    <w:basedOn w:val="1"/>
    <w:qFormat/>
    <w:uiPriority w:val="0"/>
    <w:pPr>
      <w:widowControl/>
      <w:spacing w:after="160" w:line="240" w:lineRule="exact"/>
      <w:jc w:val="left"/>
    </w:pPr>
    <w:rPr>
      <w:rFonts w:ascii="Calibri" w:hAnsi="Calibri" w:eastAsia="宋体" w:cs="Times New Roman"/>
      <w:spacing w:val="0"/>
      <w:sz w:val="21"/>
      <w:szCs w:val="24"/>
    </w:rPr>
  </w:style>
  <w:style w:type="paragraph" w:styleId="4">
    <w:name w:val="Body Text"/>
    <w:basedOn w:val="1"/>
    <w:next w:val="1"/>
    <w:qFormat/>
    <w:uiPriority w:val="0"/>
    <w:pPr>
      <w:spacing w:after="120"/>
    </w:pPr>
    <w:rPr>
      <w:rFonts w:ascii="Calibri" w:hAnsi="Calibri" w:eastAsia="微软雅黑" w:cs="Times New Roman"/>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index 7"/>
    <w:basedOn w:val="1"/>
    <w:next w:val="1"/>
    <w:qFormat/>
    <w:uiPriority w:val="0"/>
    <w:pPr>
      <w:ind w:left="2520"/>
    </w:pPr>
    <w:rPr>
      <w:rFonts w:ascii="Times New Roman" w:hAnsi="Times New Roman" w:eastAsia="宋体" w:cs="Times New Roman"/>
    </w:rPr>
  </w:style>
  <w:style w:type="paragraph" w:styleId="8">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9">
    <w:name w:val="Body Text First Indent"/>
    <w:basedOn w:val="4"/>
    <w:next w:val="7"/>
    <w:qFormat/>
    <w:uiPriority w:val="0"/>
    <w:pPr>
      <w:ind w:firstLine="100" w:firstLineChars="100"/>
    </w:pPr>
  </w:style>
  <w:style w:type="character" w:styleId="12">
    <w:name w:val="Strong"/>
    <w:basedOn w:val="11"/>
    <w:qFormat/>
    <w:uiPriority w:val="0"/>
    <w:rPr>
      <w:b/>
      <w:bCs/>
    </w:rPr>
  </w:style>
  <w:style w:type="character" w:customStyle="1" w:styleId="13">
    <w:name w:val="页眉 Char"/>
    <w:basedOn w:val="11"/>
    <w:link w:val="6"/>
    <w:qFormat/>
    <w:uiPriority w:val="99"/>
    <w:rPr>
      <w:sz w:val="18"/>
      <w:szCs w:val="18"/>
    </w:rPr>
  </w:style>
  <w:style w:type="character" w:customStyle="1" w:styleId="14">
    <w:name w:val="页脚 Char"/>
    <w:basedOn w:val="11"/>
    <w:link w:val="5"/>
    <w:qFormat/>
    <w:uiPriority w:val="99"/>
    <w:rPr>
      <w:sz w:val="18"/>
      <w:szCs w:val="18"/>
    </w:rPr>
  </w:style>
  <w:style w:type="paragraph" w:styleId="15">
    <w:name w:val="List Paragraph"/>
    <w:basedOn w:val="1"/>
    <w:unhideWhenUsed/>
    <w:qFormat/>
    <w:uiPriority w:val="99"/>
    <w:pPr>
      <w:ind w:firstLine="420" w:firstLineChars="200"/>
    </w:pPr>
  </w:style>
  <w:style w:type="paragraph" w:customStyle="1" w:styleId="16">
    <w:name w:val="列出段落1"/>
    <w:basedOn w:val="1"/>
    <w:qFormat/>
    <w:uiPriority w:val="0"/>
    <w:pPr>
      <w:ind w:firstLine="420" w:firstLineChars="200"/>
    </w:pPr>
    <w:rPr>
      <w:rFonts w:ascii="等线" w:hAnsi="等线" w:eastAsia="等线"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409</Words>
  <Characters>422</Characters>
  <Lines>9</Lines>
  <Paragraphs>2</Paragraphs>
  <TotalTime>0</TotalTime>
  <ScaleCrop>false</ScaleCrop>
  <LinksUpToDate>false</LinksUpToDate>
  <CharactersWithSpaces>444</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2024-08-22T09:43:56Z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025DFFAB2698440F997C126F1251C0EA_13</vt:lpwstr>
  </property>
</Properties>
</file>