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库尔勒市信访局2023年度部门决算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方正小标宋_GBK" w:hAnsi="宋体" w:eastAsia="方正小标宋_GBK"/>
          <w:sz w:val="44"/>
          <w:szCs w:val="44"/>
        </w:rPr>
      </w:pPr>
      <w:r>
        <w:rPr>
          <w:rFonts w:hint="eastAsia" w:ascii="方正小标宋_GBK" w:hAnsi="宋体" w:eastAsia="方正小标宋_GBK"/>
          <w:sz w:val="44"/>
          <w:szCs w:val="44"/>
        </w:rPr>
        <w:br w:type="page"/>
      </w:r>
    </w:p>
    <w:p>
      <w:pP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 xml:space="preserve">第一部分 </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pStyle w:val="2"/>
        <w:spacing w:before="0" w:after="0" w:line="360" w:lineRule="auto"/>
        <w:ind w:left="1" w:firstLine="566" w:firstLineChars="0"/>
        <w:jc w:val="both"/>
        <w:rPr>
          <w:rFonts w:ascii="仿宋_GB2312" w:hAnsi="Times New Roman" w:eastAsia="仿宋_GB2312"/>
          <w:bCs w:val="0"/>
          <w:sz w:val="32"/>
        </w:rPr>
      </w:pPr>
      <w:bookmarkStart w:id="4" w:name="_Toc31238"/>
      <w:bookmarkStart w:id="5" w:name="_Toc2151"/>
      <w:r>
        <w:rPr>
          <w:rFonts w:hint="eastAsia" w:ascii="仿宋_GB2312" w:hAnsi="Times New Roman" w:eastAsia="仿宋_GB2312"/>
          <w:bCs w:val="0"/>
          <w:sz w:val="32"/>
        </w:rPr>
        <w:t>贯彻落实人民政府和上级部门关于信访和群众工作的决策部署，定期分析信访形势，通报信访工作情况，提出改进工作意见，督促检查全市信访和群众工作。代表人民政府受理人民来信来电，接待群众来访，交办和转送信访人提出的信访事项。承办人民政府领导同志和上级机关交办的信访事项，督促检查领导批示件的落实情况；督促检查重要信访事项的处理和落实；审结上报重要信访案件。协调处理群众进京、赴非正常上访和突发信访事件；直接查处重大疑难信访案件。宣传信访工作和群众工作政策，对来访群众进行思想教育和疏导；为来访群众提供有关法律、法规和政策咨询服务。征集群众意见，反映社情民意，及时向人民政府报告信访情况，并对涉及群众利益的政策性问题提出意见和建议。监督检查涉及群众利益政策的贯彻落实情况；对涉及群众利益的改革性政策和重大项目进行风险评估，维护群众益。</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库尔勒市信访局2023年度，实有人数</w:t>
      </w:r>
      <w:r>
        <w:rPr>
          <w:rFonts w:hint="eastAsia" w:ascii="仿宋_GB2312" w:eastAsia="仿宋_GB2312"/>
          <w:sz w:val="32"/>
          <w:szCs w:val="32"/>
          <w:lang w:val="zh-CN"/>
        </w:rPr>
        <w:t>16</w:t>
      </w:r>
      <w:r>
        <w:rPr>
          <w:rFonts w:hint="eastAsia" w:ascii="仿宋_GB2312" w:eastAsia="仿宋_GB2312"/>
          <w:sz w:val="32"/>
          <w:szCs w:val="32"/>
        </w:rPr>
        <w:t>人，其中：在职人员</w:t>
      </w:r>
      <w:r>
        <w:rPr>
          <w:rFonts w:hint="eastAsia" w:ascii="仿宋_GB2312" w:eastAsia="仿宋_GB2312"/>
          <w:sz w:val="32"/>
          <w:szCs w:val="32"/>
          <w:lang w:val="zh-CN"/>
        </w:rPr>
        <w:t>15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hAnsi="黑体" w:eastAsia="仿宋_GB2312" w:cs="宋体"/>
          <w:bCs/>
          <w:kern w:val="0"/>
          <w:sz w:val="32"/>
          <w:szCs w:val="32"/>
        </w:rPr>
        <w:t>单位</w:t>
      </w:r>
      <w:r>
        <w:rPr>
          <w:rFonts w:hint="eastAsia" w:ascii="仿宋_GB2312" w:hAnsi="宋体" w:eastAsia="仿宋_GB2312" w:cs="宋体"/>
          <w:kern w:val="0"/>
          <w:sz w:val="32"/>
          <w:szCs w:val="32"/>
        </w:rPr>
        <w:t>无下属预算单位，下设 2 个科室，分别是：办公室、业务科。</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2023年度收入总计295.04万元，其中：本年收入合计295.04万元，使用非财政拨款结余0.00万元，年初结转和结余0.00万元。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2023年度支出总计295.04万元，其中：本年支出合计295.04万元，结余分配0.00万元，年末结转和结余0.00万元。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收入支出总体与上年相比，增加24.25万元，增长8.96%，主要原因是：在职人员工资、社保、公积金基数调整。</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本年收入295.04万元，其中：财政拨款收入</w:t>
      </w:r>
      <w:r>
        <w:rPr>
          <w:rFonts w:hint="eastAsia" w:ascii="仿宋_GB2312" w:eastAsia="仿宋_GB2312"/>
          <w:sz w:val="32"/>
          <w:szCs w:val="32"/>
          <w:lang w:val="zh-CN"/>
        </w:rPr>
        <w:t>295.04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eastAsia="仿宋_GB2312" w:cs="仿宋_GB2312"/>
          <w:sz w:val="30"/>
          <w:szCs w:val="30"/>
          <w:lang w:val="zh-CN"/>
        </w:rPr>
      </w:pPr>
      <w:r>
        <w:rPr>
          <w:rFonts w:hint="eastAsia" w:eastAsia="仿宋_GB2312" w:cs="仿宋_GB2312"/>
          <w:sz w:val="32"/>
          <w:szCs w:val="32"/>
          <w:lang w:val="zh-CN"/>
        </w:rPr>
        <w:t>本年支出295.04万元，其中：基本支出271.42万元，占91.99%；项目支出23.62万元，占8.01%；上缴上级支出0.00万元，占0.00%；经营支出0.00万元，占0.00%；对附属单位补助支出0.00万元，占0.00%。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295.04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295.04</w:t>
      </w:r>
      <w:r>
        <w:rPr>
          <w:rFonts w:hint="eastAsia" w:ascii="仿宋_GB2312" w:eastAsia="仿宋_GB2312"/>
          <w:sz w:val="32"/>
          <w:szCs w:val="32"/>
        </w:rPr>
        <w:t>万元。财政拨款支出总计</w:t>
      </w:r>
      <w:r>
        <w:rPr>
          <w:rFonts w:hint="eastAsia" w:ascii="仿宋_GB2312" w:eastAsia="仿宋_GB2312"/>
          <w:sz w:val="32"/>
          <w:szCs w:val="32"/>
          <w:lang w:val="zh-CN"/>
        </w:rPr>
        <w:t>295.04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295.04</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增加24.25万元</w:t>
      </w:r>
      <w:r>
        <w:rPr>
          <w:rFonts w:hint="eastAsia" w:ascii="仿宋_GB2312" w:eastAsia="仿宋_GB2312"/>
          <w:sz w:val="32"/>
          <w:szCs w:val="32"/>
        </w:rPr>
        <w:t>，</w:t>
      </w:r>
      <w:r>
        <w:rPr>
          <w:rFonts w:hint="eastAsia" w:ascii="仿宋_GB2312" w:eastAsia="仿宋_GB2312"/>
          <w:sz w:val="32"/>
          <w:szCs w:val="32"/>
          <w:lang w:val="zh-CN"/>
        </w:rPr>
        <w:t>增长8.96%，</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年度在职人员工资、社保、公积金基数调整。与年初预算相比，</w:t>
      </w:r>
      <w:r>
        <w:rPr>
          <w:rFonts w:hint="eastAsia" w:ascii="仿宋_GB2312" w:eastAsia="仿宋_GB2312"/>
          <w:sz w:val="32"/>
          <w:szCs w:val="32"/>
          <w:highlight w:val="none"/>
        </w:rPr>
        <w:t>年初预算数</w:t>
      </w:r>
      <w:r>
        <w:rPr>
          <w:rFonts w:hint="eastAsia" w:ascii="仿宋_GB2312" w:eastAsia="仿宋_GB2312"/>
          <w:sz w:val="32"/>
          <w:szCs w:val="32"/>
          <w:highlight w:val="none"/>
          <w:lang w:val="zh-CN"/>
        </w:rPr>
        <w:t>305.85</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295.04</w:t>
      </w:r>
      <w:r>
        <w:rPr>
          <w:rFonts w:hint="eastAsia" w:ascii="仿宋_GB2312" w:eastAsia="仿宋_GB2312"/>
          <w:sz w:val="32"/>
          <w:szCs w:val="32"/>
          <w:highlight w:val="none"/>
        </w:rPr>
        <w:t>万元，预决算差异率-3.53%，</w:t>
      </w:r>
      <w:r>
        <w:rPr>
          <w:rFonts w:hint="eastAsia" w:ascii="仿宋_GB2312" w:eastAsia="仿宋_GB2312"/>
          <w:sz w:val="32"/>
          <w:szCs w:val="32"/>
        </w:rPr>
        <w:t>主要原因是：</w:t>
      </w:r>
      <w:bookmarkStart w:id="16" w:name="_Toc20360"/>
      <w:bookmarkStart w:id="17" w:name="_Toc13833"/>
      <w:r>
        <w:rPr>
          <w:rFonts w:hint="eastAsia" w:ascii="仿宋_GB2312" w:eastAsia="仿宋_GB2312"/>
          <w:sz w:val="32"/>
          <w:szCs w:val="32"/>
        </w:rPr>
        <w:t>厉行节约，精简其他各项办公支出。</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2023年度一般公共预算财政拨款支出295.04万元，占本年支出合计的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增加24.25万元</w:t>
      </w:r>
      <w:r>
        <w:rPr>
          <w:rFonts w:hint="eastAsia" w:ascii="仿宋_GB2312" w:eastAsia="仿宋_GB2312"/>
          <w:sz w:val="32"/>
          <w:szCs w:val="32"/>
        </w:rPr>
        <w:t>，</w:t>
      </w:r>
      <w:r>
        <w:rPr>
          <w:rFonts w:hint="eastAsia" w:ascii="仿宋_GB2312" w:eastAsia="仿宋_GB2312"/>
          <w:sz w:val="32"/>
          <w:szCs w:val="32"/>
          <w:lang w:val="zh-CN"/>
        </w:rPr>
        <w:t>增长8.96%，</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年度在职人员工资、社保、公积金基数调整。与年初预算相比，年初预算数</w:t>
      </w:r>
      <w:r>
        <w:rPr>
          <w:rFonts w:hint="eastAsia" w:ascii="仿宋_GB2312" w:eastAsia="仿宋_GB2312"/>
          <w:sz w:val="32"/>
          <w:szCs w:val="32"/>
          <w:lang w:val="zh-CN"/>
        </w:rPr>
        <w:t>305.85</w:t>
      </w:r>
      <w:r>
        <w:rPr>
          <w:rFonts w:hint="eastAsia" w:ascii="仿宋_GB2312" w:eastAsia="仿宋_GB2312"/>
          <w:sz w:val="32"/>
          <w:szCs w:val="32"/>
        </w:rPr>
        <w:t>万元，决算数</w:t>
      </w:r>
      <w:r>
        <w:rPr>
          <w:rFonts w:hint="eastAsia" w:ascii="仿宋_GB2312" w:eastAsia="仿宋_GB2312"/>
          <w:sz w:val="32"/>
          <w:szCs w:val="32"/>
          <w:lang w:val="zh-CN"/>
        </w:rPr>
        <w:t>295.04</w:t>
      </w:r>
      <w:r>
        <w:rPr>
          <w:rFonts w:hint="eastAsia" w:ascii="仿宋_GB2312" w:eastAsia="仿宋_GB2312"/>
          <w:sz w:val="32"/>
          <w:szCs w:val="32"/>
        </w:rPr>
        <w:t>万元，预决算差异率</w:t>
      </w:r>
      <w:r>
        <w:rPr>
          <w:rFonts w:hint="eastAsia" w:ascii="仿宋_GB2312" w:eastAsia="仿宋_GB2312"/>
          <w:sz w:val="32"/>
          <w:szCs w:val="32"/>
          <w:lang w:val="zh-CN"/>
        </w:rPr>
        <w:t>-3.53%</w:t>
      </w:r>
      <w:r>
        <w:rPr>
          <w:rFonts w:hint="eastAsia" w:ascii="仿宋_GB2312" w:eastAsia="仿宋_GB2312"/>
          <w:sz w:val="32"/>
          <w:szCs w:val="32"/>
        </w:rPr>
        <w:t>，主要原因是：厉行节约，精简其他各项办公支出。</w:t>
      </w:r>
      <w:bookmarkStart w:id="48" w:name="_GoBack"/>
      <w:bookmarkEnd w:id="48"/>
    </w:p>
    <w:p>
      <w:pPr>
        <w:spacing w:line="600" w:lineRule="exact"/>
        <w:ind w:firstLine="640" w:firstLineChars="200"/>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229.28</w:t>
      </w:r>
      <w:r>
        <w:rPr>
          <w:rFonts w:ascii="仿宋_GB2312" w:eastAsia="仿宋_GB2312"/>
          <w:kern w:val="2"/>
          <w:sz w:val="32"/>
          <w:szCs w:val="32"/>
          <w:lang w:val="zh-CN"/>
        </w:rPr>
        <w:t>万元，占</w:t>
      </w:r>
      <w:r>
        <w:rPr>
          <w:rFonts w:hint="eastAsia" w:ascii="仿宋_GB2312" w:eastAsia="仿宋_GB2312"/>
          <w:kern w:val="2"/>
          <w:sz w:val="32"/>
          <w:szCs w:val="32"/>
          <w:lang w:val="zh-CN"/>
        </w:rPr>
        <w:t>77.71</w:t>
      </w:r>
      <w:r>
        <w:rPr>
          <w:rFonts w:ascii="仿宋_GB2312" w:eastAsia="仿宋_GB2312"/>
          <w:kern w:val="2"/>
          <w:sz w:val="32"/>
          <w:szCs w:val="32"/>
          <w:lang w:val="zh-CN"/>
        </w:rPr>
        <w:t>%；</w:t>
      </w:r>
    </w:p>
    <w:p>
      <w:pPr>
        <w:pStyle w:val="9"/>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2.教育支出（类）</w:t>
      </w:r>
      <w:r>
        <w:rPr>
          <w:rFonts w:hint="eastAsia" w:ascii="仿宋_GB2312" w:eastAsia="仿宋_GB2312"/>
          <w:kern w:val="2"/>
          <w:sz w:val="32"/>
          <w:szCs w:val="32"/>
          <w:lang w:val="zh-CN"/>
        </w:rPr>
        <w:t>0.80</w:t>
      </w:r>
      <w:r>
        <w:rPr>
          <w:rFonts w:ascii="仿宋_GB2312" w:eastAsia="仿宋_GB2312"/>
          <w:kern w:val="2"/>
          <w:sz w:val="32"/>
          <w:szCs w:val="32"/>
          <w:lang w:val="zh-CN"/>
        </w:rPr>
        <w:t>万元，占</w:t>
      </w:r>
      <w:r>
        <w:rPr>
          <w:rFonts w:hint="eastAsia" w:ascii="仿宋_GB2312" w:eastAsia="仿宋_GB2312"/>
          <w:kern w:val="2"/>
          <w:sz w:val="32"/>
          <w:szCs w:val="32"/>
          <w:lang w:val="zh-CN"/>
        </w:rPr>
        <w:t>0.27</w:t>
      </w:r>
      <w:r>
        <w:rPr>
          <w:rFonts w:ascii="仿宋_GB2312" w:eastAsia="仿宋_GB2312"/>
          <w:kern w:val="2"/>
          <w:sz w:val="32"/>
          <w:szCs w:val="32"/>
          <w:lang w:val="zh-CN"/>
        </w:rPr>
        <w:t>%；</w:t>
      </w:r>
    </w:p>
    <w:p>
      <w:pPr>
        <w:pStyle w:val="9"/>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33.69</w:t>
      </w:r>
      <w:r>
        <w:rPr>
          <w:rFonts w:ascii="仿宋_GB2312" w:eastAsia="仿宋_GB2312"/>
          <w:kern w:val="2"/>
          <w:sz w:val="32"/>
          <w:szCs w:val="32"/>
          <w:lang w:val="zh-CN"/>
        </w:rPr>
        <w:t>万元，占</w:t>
      </w:r>
      <w:r>
        <w:rPr>
          <w:rFonts w:hint="eastAsia" w:ascii="仿宋_GB2312" w:eastAsia="仿宋_GB2312"/>
          <w:kern w:val="2"/>
          <w:sz w:val="32"/>
          <w:szCs w:val="32"/>
          <w:lang w:val="zh-CN"/>
        </w:rPr>
        <w:t>11.42</w:t>
      </w:r>
      <w:r>
        <w:rPr>
          <w:rFonts w:ascii="仿宋_GB2312" w:eastAsia="仿宋_GB2312"/>
          <w:kern w:val="2"/>
          <w:sz w:val="32"/>
          <w:szCs w:val="32"/>
          <w:lang w:val="zh-CN"/>
        </w:rPr>
        <w:t>%；</w:t>
      </w:r>
    </w:p>
    <w:p>
      <w:pPr>
        <w:pStyle w:val="9"/>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4.卫生健康支出（类）</w:t>
      </w:r>
      <w:r>
        <w:rPr>
          <w:rFonts w:hint="eastAsia" w:ascii="仿宋_GB2312" w:eastAsia="仿宋_GB2312"/>
          <w:kern w:val="2"/>
          <w:sz w:val="32"/>
          <w:szCs w:val="32"/>
          <w:lang w:val="zh-CN"/>
        </w:rPr>
        <w:t>12.98</w:t>
      </w:r>
      <w:r>
        <w:rPr>
          <w:rFonts w:ascii="仿宋_GB2312" w:eastAsia="仿宋_GB2312"/>
          <w:kern w:val="2"/>
          <w:sz w:val="32"/>
          <w:szCs w:val="32"/>
          <w:lang w:val="zh-CN"/>
        </w:rPr>
        <w:t>万元，占</w:t>
      </w:r>
      <w:r>
        <w:rPr>
          <w:rFonts w:hint="eastAsia" w:ascii="仿宋_GB2312" w:eastAsia="仿宋_GB2312"/>
          <w:kern w:val="2"/>
          <w:sz w:val="32"/>
          <w:szCs w:val="32"/>
          <w:lang w:val="zh-CN"/>
        </w:rPr>
        <w:t>4.40</w:t>
      </w:r>
      <w:r>
        <w:rPr>
          <w:rFonts w:ascii="仿宋_GB2312" w:eastAsia="仿宋_GB2312"/>
          <w:kern w:val="2"/>
          <w:sz w:val="32"/>
          <w:szCs w:val="32"/>
          <w:lang w:val="zh-CN"/>
        </w:rPr>
        <w:t>%；</w:t>
      </w:r>
    </w:p>
    <w:p>
      <w:pPr>
        <w:pStyle w:val="9"/>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5.住房保障支出（类）</w:t>
      </w:r>
      <w:r>
        <w:rPr>
          <w:rFonts w:hint="eastAsia" w:ascii="仿宋_GB2312" w:eastAsia="仿宋_GB2312"/>
          <w:kern w:val="2"/>
          <w:sz w:val="32"/>
          <w:szCs w:val="32"/>
          <w:lang w:val="zh-CN"/>
        </w:rPr>
        <w:t>18.28</w:t>
      </w:r>
      <w:r>
        <w:rPr>
          <w:rFonts w:ascii="仿宋_GB2312" w:eastAsia="仿宋_GB2312"/>
          <w:kern w:val="2"/>
          <w:sz w:val="32"/>
          <w:szCs w:val="32"/>
          <w:lang w:val="zh-CN"/>
        </w:rPr>
        <w:t>万元，占</w:t>
      </w:r>
      <w:r>
        <w:rPr>
          <w:rFonts w:hint="eastAsia" w:ascii="仿宋_GB2312" w:eastAsia="仿宋_GB2312"/>
          <w:kern w:val="2"/>
          <w:sz w:val="32"/>
          <w:szCs w:val="32"/>
          <w:lang w:val="zh-CN"/>
        </w:rPr>
        <w:t>6.20</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1.一般公共服务支出（类）政府办公厅（室）及相关机构事务（款）信访事务（项）:支出决算数为229.28万元，比上年决算增加21.45万元，增长10.32%，主要原因是：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年度因工作需要，增加上级专项和部门专项支出。</w:t>
      </w:r>
    </w:p>
    <w:p>
      <w:pPr>
        <w:spacing w:line="560" w:lineRule="exact"/>
        <w:ind w:firstLine="640" w:firstLineChars="200"/>
        <w:rPr>
          <w:rFonts w:eastAsia="方正仿宋_GBK"/>
          <w:sz w:val="32"/>
          <w:szCs w:val="32"/>
          <w:lang w:val="zh-CN"/>
        </w:rPr>
      </w:pPr>
      <w:r>
        <w:rPr>
          <w:rFonts w:hint="eastAsia" w:eastAsia="仿宋_GB2312"/>
          <w:sz w:val="32"/>
          <w:szCs w:val="32"/>
        </w:rPr>
        <w:t>2.教育支出（类）进修及培训（款）培训支出（项）:支出决算数为0.80万元，比上年决算增加0.80万元，增长100%，主要原因是：</w:t>
      </w:r>
      <w:r>
        <w:rPr>
          <w:rFonts w:hint="eastAsia" w:eastAsia="方正仿宋_GBK"/>
          <w:sz w:val="32"/>
          <w:szCs w:val="32"/>
        </w:rPr>
        <w:t>加大了对干部的培训力度，提升干部的业务能力水平。</w:t>
      </w:r>
    </w:p>
    <w:p>
      <w:pPr>
        <w:ind w:firstLine="640" w:firstLineChars="200"/>
        <w:rPr>
          <w:rFonts w:eastAsia="仿宋_GB2312"/>
          <w:sz w:val="32"/>
          <w:szCs w:val="32"/>
          <w:lang w:val="zh-CN"/>
        </w:rPr>
      </w:pPr>
      <w:r>
        <w:rPr>
          <w:rFonts w:eastAsia="仿宋_GB2312"/>
          <w:sz w:val="32"/>
          <w:szCs w:val="32"/>
        </w:rPr>
        <w:t>3</w:t>
      </w:r>
      <w:r>
        <w:rPr>
          <w:rFonts w:hint="eastAsia" w:eastAsia="仿宋_GB2312"/>
          <w:sz w:val="32"/>
          <w:szCs w:val="32"/>
        </w:rPr>
        <w:t>.社会保障和就业支出（类）行政事业单位养老支出（款）行政单位离退休（项）:支出决算数为0.67万元，比上年决算增加0.21万元，增长45.</w:t>
      </w:r>
      <w:r>
        <w:rPr>
          <w:rFonts w:hint="eastAsia" w:eastAsia="仿宋_GB2312"/>
          <w:sz w:val="32"/>
          <w:szCs w:val="32"/>
          <w:lang w:val="en-US" w:eastAsia="zh-CN"/>
        </w:rPr>
        <w:t>65</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年度人员工资提高，社保缴费基数提高。</w:t>
      </w:r>
    </w:p>
    <w:p>
      <w:pPr>
        <w:ind w:firstLine="640" w:firstLineChars="200"/>
        <w:rPr>
          <w:rFonts w:eastAsia="仿宋_GB2312"/>
          <w:sz w:val="32"/>
          <w:szCs w:val="32"/>
          <w:lang w:val="zh-CN"/>
        </w:rPr>
      </w:pPr>
      <w:r>
        <w:rPr>
          <w:rFonts w:eastAsia="仿宋_GB2312"/>
          <w:sz w:val="32"/>
          <w:szCs w:val="32"/>
        </w:rPr>
        <w:t>4</w:t>
      </w:r>
      <w:r>
        <w:rPr>
          <w:rFonts w:hint="eastAsia" w:eastAsia="仿宋_GB2312"/>
          <w:sz w:val="32"/>
          <w:szCs w:val="32"/>
        </w:rPr>
        <w:t>.社会保障和就业支出（类）行政事业单位养老支出（款）机关事业单位基本养老保险缴费支出（项）:支出决算数为22.99万元，比上年决算增加1.05万元，增长4.78%，主要原因是：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年度人员工资提高，社保缴费基数提高。</w:t>
      </w:r>
    </w:p>
    <w:p>
      <w:pPr>
        <w:ind w:firstLine="640" w:firstLineChars="200"/>
        <w:rPr>
          <w:rFonts w:eastAsia="仿宋_GB2312"/>
          <w:sz w:val="32"/>
          <w:szCs w:val="32"/>
          <w:lang w:val="zh-CN"/>
        </w:rPr>
      </w:pPr>
      <w:r>
        <w:rPr>
          <w:rFonts w:eastAsia="仿宋_GB2312"/>
          <w:sz w:val="32"/>
          <w:szCs w:val="32"/>
        </w:rPr>
        <w:t>5</w:t>
      </w:r>
      <w:r>
        <w:rPr>
          <w:rFonts w:hint="eastAsia" w:eastAsia="仿宋_GB2312"/>
          <w:sz w:val="32"/>
          <w:szCs w:val="32"/>
        </w:rPr>
        <w:t>.社会保障和就业支出（类）就业补助（款）公益性岗位补贴（项）:支出决算数为10.04万元，比上年决算减少0.12万元，下降1.1</w:t>
      </w:r>
      <w:r>
        <w:rPr>
          <w:rFonts w:hint="eastAsia" w:eastAsia="仿宋_GB2312"/>
          <w:sz w:val="32"/>
          <w:szCs w:val="32"/>
          <w:lang w:val="en-US" w:eastAsia="zh-CN"/>
        </w:rPr>
        <w:t>8</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年度公岗人员减少导致公益性岗位相关支出减少。</w:t>
      </w:r>
    </w:p>
    <w:p>
      <w:pPr>
        <w:ind w:firstLine="640" w:firstLineChars="200"/>
        <w:rPr>
          <w:rFonts w:eastAsia="仿宋_GB2312"/>
          <w:sz w:val="32"/>
          <w:szCs w:val="32"/>
          <w:lang w:val="zh-CN"/>
        </w:rPr>
      </w:pPr>
      <w:r>
        <w:rPr>
          <w:rFonts w:hint="eastAsia" w:eastAsia="仿宋_GB2312"/>
          <w:sz w:val="32"/>
          <w:szCs w:val="32"/>
        </w:rPr>
        <w:t>6</w:t>
      </w:r>
      <w:r>
        <w:rPr>
          <w:rFonts w:eastAsia="仿宋_GB2312"/>
          <w:sz w:val="32"/>
          <w:szCs w:val="32"/>
        </w:rPr>
        <w:t>.</w:t>
      </w:r>
      <w:r>
        <w:rPr>
          <w:rFonts w:hint="eastAsia" w:eastAsia="仿宋_GB2312"/>
          <w:sz w:val="32"/>
          <w:szCs w:val="32"/>
        </w:rPr>
        <w:t>卫生健康支出（类）行政事业单位医疗（款）行政单位医疗（项）:支出决算数为10.46万元，比上年决算增加0.02万元，增长0.20%，主要原因是：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年度社保基数提高。</w:t>
      </w:r>
    </w:p>
    <w:p>
      <w:pPr>
        <w:ind w:firstLine="640" w:firstLineChars="200"/>
        <w:rPr>
          <w:rFonts w:eastAsia="仿宋_GB2312"/>
          <w:sz w:val="32"/>
          <w:szCs w:val="32"/>
          <w:lang w:val="zh-CN"/>
        </w:rPr>
      </w:pPr>
      <w:r>
        <w:rPr>
          <w:rFonts w:eastAsia="仿宋_GB2312"/>
          <w:sz w:val="32"/>
          <w:szCs w:val="32"/>
        </w:rPr>
        <w:t>7</w:t>
      </w:r>
      <w:r>
        <w:rPr>
          <w:rFonts w:hint="eastAsia" w:eastAsia="仿宋_GB2312"/>
          <w:sz w:val="32"/>
          <w:szCs w:val="32"/>
        </w:rPr>
        <w:t>.卫生健康支出（类）行政事业单位医疗（款）公务员医疗补助（项）:支出决算数为2.52万元，比上年决算增加0.23万元，增长</w:t>
      </w:r>
      <w:r>
        <w:rPr>
          <w:rFonts w:hint="eastAsia" w:eastAsia="仿宋_GB2312"/>
          <w:sz w:val="32"/>
          <w:szCs w:val="32"/>
          <w:lang w:val="en-US" w:eastAsia="zh-CN"/>
        </w:rPr>
        <w:t>10.04</w:t>
      </w:r>
      <w:r>
        <w:rPr>
          <w:rFonts w:hint="eastAsia" w:eastAsia="仿宋_GB2312"/>
          <w:sz w:val="32"/>
          <w:szCs w:val="32"/>
        </w:rPr>
        <w:t>%，主要原因是：2</w:t>
      </w:r>
      <w:r>
        <w:rPr>
          <w:rFonts w:eastAsia="仿宋_GB2312"/>
          <w:sz w:val="32"/>
          <w:szCs w:val="32"/>
        </w:rPr>
        <w:t>023</w:t>
      </w:r>
      <w:r>
        <w:rPr>
          <w:rFonts w:hint="eastAsia" w:eastAsia="仿宋_GB2312"/>
          <w:sz w:val="32"/>
          <w:szCs w:val="32"/>
        </w:rPr>
        <w:t>年度社保基数提高。</w:t>
      </w:r>
    </w:p>
    <w:p>
      <w:pPr>
        <w:ind w:firstLine="640" w:firstLineChars="200"/>
        <w:rPr>
          <w:rFonts w:eastAsia="仿宋_GB2312"/>
          <w:sz w:val="32"/>
          <w:szCs w:val="32"/>
          <w:lang w:val="zh-CN"/>
        </w:rPr>
      </w:pPr>
      <w:r>
        <w:rPr>
          <w:rFonts w:eastAsia="仿宋_GB2312"/>
          <w:sz w:val="32"/>
          <w:szCs w:val="32"/>
        </w:rPr>
        <w:t>8</w:t>
      </w:r>
      <w:r>
        <w:rPr>
          <w:rFonts w:hint="eastAsia" w:eastAsia="仿宋_GB2312"/>
          <w:sz w:val="32"/>
          <w:szCs w:val="32"/>
        </w:rPr>
        <w:t>.住房保障支出（类）住房改革支出（款）住房公积金（项）:支出决算数为18.28万元，比上年决算增加0.61万元，增长3.45%，主要原因是：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年度人员工资提高，公积金缴费基数提高。</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271.42万元，其中：人员经费251.11万元，包括：基本工资、津贴补贴、奖金、机关事业单位基本养老保险缴费、职工基本医疗保险缴费、公务员医疗补助缴费、其他社会保障缴费、住房公积金、其他工资福利支出、退休费、医疗费补助。</w:t>
      </w:r>
    </w:p>
    <w:p>
      <w:pPr>
        <w:ind w:firstLine="640" w:firstLineChars="200"/>
        <w:rPr>
          <w:rFonts w:ascii="仿宋_GB2312" w:eastAsia="仿宋_GB2312"/>
          <w:sz w:val="32"/>
          <w:szCs w:val="32"/>
          <w:highlight w:val="red"/>
        </w:rPr>
      </w:pPr>
      <w:r>
        <w:rPr>
          <w:rFonts w:hint="eastAsia" w:ascii="仿宋_GB2312" w:eastAsia="仿宋_GB2312"/>
          <w:sz w:val="32"/>
          <w:szCs w:val="32"/>
        </w:rPr>
        <w:t>公用经费20.31万元，包括：办公费、水费、电费、邮电费、取暖费、培训费、工会经费、福利费、其他交通费用。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lang w:val="zh-CN"/>
        </w:rPr>
      </w:pPr>
      <w:bookmarkStart w:id="18" w:name="_Toc7927"/>
      <w:bookmarkStart w:id="19" w:name="_Toc5810"/>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我单位无三公经费支出</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我单位无因公出国支出。</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我单位无公务用车购置及运行维护费</w:t>
      </w:r>
      <w:r>
        <w:rPr>
          <w:rFonts w:hint="eastAsia" w:ascii="仿宋_GB2312" w:eastAsia="仿宋_GB2312"/>
          <w:sz w:val="32"/>
          <w:szCs w:val="32"/>
          <w:lang w:val="zh-CN"/>
        </w:rPr>
        <w:t>；公务接待费支出0.00万元，占0.00%，比上年增加0.00万元，增长0.00%，主要原因是：本单位全年未安排公务接待费。</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因公出国（境）费支出0.00万元，开支内容包括：本年未安排因公出国（境）费支出，无开支内容。单位全年安排的因公出国（境）团组0个，因公出国（境）0人次。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与公务用车保有量差异原因是：固定资产车辆与公务用车保有量无差异</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公务接待费0.00万元，开支内容包括：本年未安排公务接待费支出，无开支内容。单位全年安排的国内公务接待0批次，0人次。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我单位无因公出国支出</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w:t>
      </w:r>
      <w:r>
        <w:rPr>
          <w:rFonts w:hint="eastAsia" w:ascii="仿宋_GB2312" w:eastAsia="仿宋_GB2312"/>
          <w:sz w:val="32"/>
          <w:szCs w:val="32"/>
          <w:lang w:val="en-US" w:eastAsia="zh-CN"/>
        </w:rPr>
        <w:t>购置费支出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预算数0.00万元，决算数0.00万元，预决算差异率0.00%，主要原因是：我单位无公务用车运行维护费</w:t>
      </w:r>
      <w:r>
        <w:rPr>
          <w:rFonts w:hint="eastAsia" w:ascii="仿宋_GB2312" w:eastAsia="仿宋_GB2312"/>
          <w:sz w:val="32"/>
          <w:szCs w:val="32"/>
          <w:lang w:val="en-US" w:eastAsia="zh-CN"/>
        </w:rPr>
        <w:t>支出</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我单位无公务接待支出</w:t>
      </w:r>
      <w:r>
        <w:rPr>
          <w:rFonts w:hint="eastAsia" w:ascii="仿宋_GB2312" w:eastAsia="仿宋_GB2312"/>
          <w:sz w:val="32"/>
          <w:szCs w:val="32"/>
          <w:lang w:val="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本年度无政府性基金预算财政拨款收入、支出及结转和结余，政府性基金预算财政拨款收入支出决算表为空表。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本年度无国有资本经营预算财政拨款收入、支出及结转和结余，国有资本经营预算财政拨款收入支出决算表为空表。</w:t>
      </w:r>
    </w:p>
    <w:p>
      <w:pPr>
        <w:ind w:firstLine="640" w:firstLineChars="200"/>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库尔勒市信访局（行政单位和参照公务员法管理事业单位）机关运行经费支出20.31万元，比上年减少10.85万元，下降34.82%，主要原因是：厉行节约，逐步减少不必要支出。</w:t>
      </w:r>
    </w:p>
    <w:p>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eastAsia="仿宋_GB2312"/>
          <w:sz w:val="32"/>
          <w:szCs w:val="32"/>
          <w:lang w:val="zh-CN"/>
        </w:rPr>
      </w:pPr>
      <w:r>
        <w:rPr>
          <w:rFonts w:hint="eastAsia" w:eastAsia="仿宋_GB2312"/>
          <w:sz w:val="32"/>
          <w:szCs w:val="32"/>
          <w:lang w:val="zh-CN"/>
        </w:rPr>
        <w:t>2023年度政府采购支出总额1.05万元，其中：政府采购货物支出0.38万元、政府采购工程支出0.00万元、政府采购服务支出0.67万元。</w:t>
      </w:r>
    </w:p>
    <w:p>
      <w:pPr>
        <w:ind w:firstLine="640" w:firstLineChars="200"/>
        <w:rPr>
          <w:rFonts w:eastAsia="仿宋_GB2312"/>
          <w:sz w:val="32"/>
          <w:szCs w:val="32"/>
        </w:rPr>
      </w:pPr>
      <w:r>
        <w:rPr>
          <w:rFonts w:hint="eastAsia" w:eastAsia="仿宋_GB2312"/>
          <w:sz w:val="32"/>
          <w:szCs w:val="32"/>
          <w:lang w:val="zh-CN"/>
        </w:rPr>
        <w:t>授予中小企业合同金额1.05万元，占政府采购支出总额的100.00</w:t>
      </w:r>
      <w:r>
        <w:rPr>
          <w:rFonts w:eastAsia="仿宋_GB2312"/>
          <w:sz w:val="32"/>
          <w:szCs w:val="32"/>
          <w:lang w:val="zh-CN"/>
        </w:rPr>
        <w:t>%</w:t>
      </w:r>
      <w:r>
        <w:rPr>
          <w:rFonts w:hint="eastAsia" w:eastAsia="仿宋_GB2312"/>
          <w:sz w:val="32"/>
          <w:szCs w:val="32"/>
          <w:lang w:val="zh-CN"/>
        </w:rPr>
        <w:t>，其中：授予小微企业合同金额0.86万元，占政府采购支出总额的</w:t>
      </w:r>
      <w:r>
        <w:rPr>
          <w:rFonts w:hint="eastAsia" w:eastAsia="仿宋_GB2312"/>
          <w:sz w:val="32"/>
          <w:szCs w:val="32"/>
          <w:lang w:val="en-US" w:eastAsia="zh-CN"/>
        </w:rPr>
        <w:t>81.90</w:t>
      </w:r>
      <w:r>
        <w:rPr>
          <w:rFonts w:eastAsia="仿宋_GB2312"/>
          <w:sz w:val="32"/>
          <w:szCs w:val="32"/>
          <w:lang w:val="zh-CN"/>
        </w:rPr>
        <w:t>%</w:t>
      </w:r>
      <w:r>
        <w:rPr>
          <w:rFonts w:hint="eastAsia" w:eastAsia="仿宋_GB2312"/>
          <w:sz w:val="32"/>
          <w:szCs w:val="32"/>
        </w:rPr>
        <w:t>。</w:t>
      </w:r>
    </w:p>
    <w:p>
      <w:pPr>
        <w:ind w:firstLine="640" w:firstLineChars="200"/>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207.00</w:t>
      </w:r>
      <w:r>
        <w:rPr>
          <w:rFonts w:hint="eastAsia" w:eastAsia="仿宋_GB2312"/>
          <w:sz w:val="32"/>
          <w:szCs w:val="32"/>
        </w:rPr>
        <w:t>万元，房</w:t>
      </w:r>
      <w:r>
        <w:rPr>
          <w:rFonts w:hint="eastAsia" w:eastAsia="仿宋_GB2312"/>
          <w:sz w:val="32"/>
          <w:szCs w:val="32"/>
          <w:lang w:val="zh-CN"/>
        </w:rPr>
        <w:t>屋0.0平方米，价值0.00万元。车辆0辆，价值0.00万元，其中：副部（省）级及以上领导用车0辆、主要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eastAsia="仿宋_GB2312"/>
          <w:sz w:val="32"/>
          <w:szCs w:val="32"/>
          <w:lang w:val="en-US" w:eastAsia="zh-CN"/>
        </w:rPr>
        <w:t>无</w:t>
      </w:r>
      <w:r>
        <w:rPr>
          <w:rFonts w:hint="eastAsia" w:eastAsia="仿宋_GB2312"/>
          <w:sz w:val="32"/>
          <w:szCs w:val="32"/>
          <w:lang w:val="zh-CN"/>
        </w:rPr>
        <w:t>其他用车；单价100万元（含）以上设备（不含车辆）0</w:t>
      </w:r>
      <w:r>
        <w:rPr>
          <w:rFonts w:hint="eastAsia" w:eastAsia="仿宋_GB2312"/>
          <w:sz w:val="32"/>
          <w:szCs w:val="32"/>
        </w:rPr>
        <w:t>台</w:t>
      </w:r>
      <w:r>
        <w:rPr>
          <w:rFonts w:hint="eastAsia" w:eastAsia="仿宋_GB2312"/>
          <w:sz w:val="32"/>
          <w:szCs w:val="32"/>
          <w:lang w:val="zh-CN"/>
        </w:rPr>
        <w:t>。</w:t>
      </w:r>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highlight w:val="none"/>
        </w:rPr>
        <w:t>根据预算绩效管理要求，我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rPr>
        <w:t>2023年度</w:t>
      </w:r>
      <w:r>
        <w:rPr>
          <w:rFonts w:hint="eastAsia" w:ascii="仿宋_GB2312" w:hAnsi="仿宋_GB2312" w:eastAsia="仿宋_GB2312" w:cs="仿宋_GB2312"/>
          <w:kern w:val="0"/>
          <w:sz w:val="32"/>
          <w:szCs w:val="32"/>
          <w:highlight w:val="none"/>
        </w:rPr>
        <w:t>预算绩效管理整体支出绩效自评表</w:t>
      </w:r>
      <w:r>
        <w:rPr>
          <w:rFonts w:hint="eastAsia" w:ascii="仿宋_GB2312" w:eastAsia="仿宋_GB2312"/>
          <w:sz w:val="32"/>
          <w:szCs w:val="32"/>
          <w:highlight w:val="none"/>
        </w:rPr>
        <w:t>1</w:t>
      </w:r>
      <w:r>
        <w:rPr>
          <w:rFonts w:hint="eastAsia" w:ascii="仿宋_GB2312" w:hAnsi="仿宋_GB2312" w:eastAsia="仿宋_GB2312" w:cs="仿宋_GB2312"/>
          <w:kern w:val="0"/>
          <w:sz w:val="32"/>
          <w:szCs w:val="32"/>
          <w:highlight w:val="none"/>
        </w:rPr>
        <w:t>个，全年</w:t>
      </w:r>
      <w:r>
        <w:rPr>
          <w:rFonts w:hint="eastAsia" w:ascii="仿宋_GB2312" w:eastAsia="仿宋_GB2312"/>
          <w:sz w:val="32"/>
          <w:szCs w:val="32"/>
          <w:highlight w:val="none"/>
        </w:rPr>
        <w:t>预算总额2</w:t>
      </w:r>
      <w:r>
        <w:rPr>
          <w:rFonts w:ascii="仿宋_GB2312" w:eastAsia="仿宋_GB2312"/>
          <w:sz w:val="32"/>
          <w:szCs w:val="32"/>
          <w:highlight w:val="none"/>
        </w:rPr>
        <w:t>95.04</w:t>
      </w:r>
      <w:r>
        <w:rPr>
          <w:rFonts w:hint="eastAsia" w:ascii="仿宋_GB2312" w:eastAsia="仿宋_GB2312"/>
          <w:sz w:val="32"/>
          <w:szCs w:val="32"/>
          <w:highlight w:val="none"/>
        </w:rPr>
        <w:t>万元，实际执行总额2</w:t>
      </w:r>
      <w:r>
        <w:rPr>
          <w:rFonts w:ascii="仿宋_GB2312" w:eastAsia="仿宋_GB2312"/>
          <w:sz w:val="32"/>
          <w:szCs w:val="32"/>
          <w:highlight w:val="none"/>
        </w:rPr>
        <w:t>95.04</w:t>
      </w:r>
      <w:r>
        <w:rPr>
          <w:rFonts w:hint="eastAsia" w:ascii="仿宋_GB2312" w:eastAsia="仿宋_GB2312"/>
          <w:sz w:val="32"/>
          <w:szCs w:val="32"/>
          <w:highlight w:val="none"/>
        </w:rPr>
        <w:t>万元</w:t>
      </w:r>
      <w:r>
        <w:rPr>
          <w:rFonts w:hint="eastAsia" w:ascii="仿宋_GB2312" w:hAnsi="仿宋_GB2312" w:eastAsia="仿宋_GB2312" w:cs="仿宋_GB2312"/>
          <w:kern w:val="0"/>
          <w:sz w:val="32"/>
          <w:szCs w:val="32"/>
          <w:highlight w:val="none"/>
        </w:rPr>
        <w:t>；</w:t>
      </w:r>
      <w:r>
        <w:rPr>
          <w:rFonts w:hint="eastAsia" w:ascii="仿宋_GB2312" w:eastAsia="仿宋_GB2312"/>
          <w:sz w:val="32"/>
          <w:szCs w:val="32"/>
          <w:highlight w:val="none"/>
        </w:rPr>
        <w:t>预算绩效评价项目</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个，全年预算数</w:t>
      </w:r>
      <w:r>
        <w:rPr>
          <w:rFonts w:ascii="仿宋_GB2312" w:eastAsia="仿宋_GB2312"/>
          <w:sz w:val="32"/>
          <w:szCs w:val="32"/>
          <w:highlight w:val="none"/>
        </w:rPr>
        <w:t>37</w:t>
      </w:r>
      <w:r>
        <w:rPr>
          <w:rFonts w:hint="eastAsia" w:ascii="仿宋_GB2312" w:eastAsia="仿宋_GB2312"/>
          <w:sz w:val="32"/>
          <w:szCs w:val="32"/>
          <w:highlight w:val="none"/>
        </w:rPr>
        <w:t>万元，全年执行数</w:t>
      </w:r>
      <w:r>
        <w:rPr>
          <w:rFonts w:ascii="仿宋_GB2312" w:eastAsia="仿宋_GB2312"/>
          <w:sz w:val="32"/>
          <w:szCs w:val="32"/>
          <w:highlight w:val="none"/>
        </w:rPr>
        <w:t>23.62</w:t>
      </w:r>
      <w:r>
        <w:rPr>
          <w:rFonts w:hint="eastAsia" w:ascii="仿宋_GB2312" w:eastAsia="仿宋_GB2312"/>
          <w:sz w:val="32"/>
          <w:szCs w:val="32"/>
          <w:highlight w:val="none"/>
        </w:rPr>
        <w:t>万元。预算绩效管理取得的成效：一是提高了绩效目标的科学性、规范性、使用性；二是开展绩效自评提升了自评质量。发现的问题及原因：一是预算绩效观念不深入：在日常绩效监控工作中存在着一定程度的“重分配、轻管理、重支出、轻绩效”的情况，造成</w:t>
      </w:r>
      <w:r>
        <w:rPr>
          <w:rFonts w:hint="eastAsia" w:ascii="仿宋_GB2312" w:eastAsia="仿宋_GB2312"/>
          <w:sz w:val="32"/>
          <w:szCs w:val="32"/>
        </w:rPr>
        <w:t>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具体项目自评情况附项目支出绩效自评表。</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jc w:val="center"/>
        <w:outlineLvl w:val="0"/>
        <w:rPr>
          <w:rFonts w:ascii="黑体" w:hAnsi="黑体" w:eastAsia="黑体"/>
          <w:sz w:val="32"/>
          <w:szCs w:val="32"/>
        </w:rPr>
      </w:pPr>
    </w:p>
    <w:p>
      <w:pPr>
        <w:spacing w:line="560" w:lineRule="exact"/>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560" w:lineRule="exact"/>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560" w:lineRule="exact"/>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spacing w:line="560" w:lineRule="exact"/>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560" w:lineRule="exact"/>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560" w:lineRule="exact"/>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spacing w:line="560" w:lineRule="exact"/>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r>
        <w:rPr>
          <w:rFonts w:hint="eastAsia" w:ascii="黑体" w:hAnsi="黑体" w:eastAsia="仿宋_GB2312" w:cs="宋体"/>
          <w:bCs/>
          <w:kern w:val="0"/>
          <w:sz w:val="32"/>
          <w:szCs w:val="32"/>
        </w:rPr>
        <w:t>（空表）</w:t>
      </w:r>
    </w:p>
    <w:p>
      <w:pPr>
        <w:spacing w:line="560" w:lineRule="exact"/>
        <w:ind w:firstLine="576" w:firstLineChars="200"/>
        <w:outlineLvl w:val="1"/>
        <w:rPr>
          <w:rFonts w:ascii="黑体" w:hAnsi="黑体" w:eastAsia="仿宋_GB2312" w:cs="宋体"/>
          <w:bCs/>
          <w:w w:val="90"/>
          <w:kern w:val="0"/>
          <w:sz w:val="32"/>
          <w:szCs w:val="32"/>
        </w:rPr>
      </w:pPr>
      <w:bookmarkStart w:id="46" w:name="_Toc5453"/>
      <w:bookmarkStart w:id="47" w:name="_Toc7643"/>
      <w:r>
        <w:rPr>
          <w:rFonts w:hint="eastAsia" w:ascii="黑体" w:hAnsi="黑体" w:eastAsia="仿宋_GB2312" w:cs="宋体"/>
          <w:bCs/>
          <w:w w:val="90"/>
          <w:kern w:val="0"/>
          <w:sz w:val="32"/>
          <w:szCs w:val="32"/>
        </w:rPr>
        <w:t>八、《政府性基金预算财政拨款收入支出决算表》</w:t>
      </w:r>
      <w:bookmarkEnd w:id="46"/>
      <w:bookmarkEnd w:id="47"/>
      <w:r>
        <w:rPr>
          <w:rFonts w:hint="eastAsia" w:ascii="黑体" w:hAnsi="黑体" w:eastAsia="仿宋_GB2312" w:cs="宋体"/>
          <w:bCs/>
          <w:w w:val="90"/>
          <w:kern w:val="0"/>
          <w:sz w:val="32"/>
          <w:szCs w:val="32"/>
        </w:rPr>
        <w:t>（空表）</w:t>
      </w:r>
    </w:p>
    <w:p>
      <w:pPr>
        <w:spacing w:line="540" w:lineRule="exact"/>
        <w:ind w:firstLine="576" w:firstLineChars="200"/>
        <w:outlineLvl w:val="1"/>
        <w:rPr>
          <w:rFonts w:ascii="黑体" w:hAnsi="黑体" w:eastAsia="仿宋_GB2312" w:cs="宋体"/>
          <w:bCs/>
          <w:w w:val="90"/>
          <w:kern w:val="0"/>
          <w:sz w:val="32"/>
          <w:szCs w:val="32"/>
        </w:rPr>
      </w:pPr>
      <w:r>
        <w:rPr>
          <w:rFonts w:hint="eastAsia" w:ascii="黑体" w:hAnsi="黑体" w:eastAsia="仿宋_GB2312" w:cs="宋体"/>
          <w:bCs/>
          <w:w w:val="90"/>
          <w:kern w:val="0"/>
          <w:sz w:val="32"/>
          <w:szCs w:val="32"/>
        </w:rPr>
        <w:t>九、《国有资本经营预算财政拨款收入支出决算表》（空表）</w:t>
      </w:r>
    </w:p>
    <w:p>
      <w:pPr>
        <w:spacing w:line="560" w:lineRule="exact"/>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r>
        <w:rPr>
          <w:rFonts w:hint="eastAsia"/>
        </w:rPr>
        <w:drawing>
          <wp:inline distT="0" distB="0" distL="0" distR="0">
            <wp:extent cx="5273675" cy="842264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86812" cy="8443765"/>
                    </a:xfrm>
                    <a:prstGeom prst="rect">
                      <a:avLst/>
                    </a:prstGeom>
                    <a:noFill/>
                    <a:ln>
                      <a:noFill/>
                    </a:ln>
                  </pic:spPr>
                </pic:pic>
              </a:graphicData>
            </a:graphic>
          </wp:inline>
        </w:drawing>
      </w:r>
    </w:p>
    <w:p>
      <w:pPr>
        <w:rPr>
          <w:rFonts w:ascii="仿宋_GB2312" w:eastAsia="仿宋_GB2312"/>
          <w:sz w:val="32"/>
          <w:szCs w:val="32"/>
        </w:rPr>
      </w:pPr>
      <w:r>
        <w:drawing>
          <wp:inline distT="0" distB="0" distL="0" distR="0">
            <wp:extent cx="5318125" cy="83699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332677" cy="8393207"/>
                    </a:xfrm>
                    <a:prstGeom prst="rect">
                      <a:avLst/>
                    </a:prstGeom>
                    <a:noFill/>
                    <a:ln>
                      <a:noFill/>
                    </a:ln>
                  </pic:spPr>
                </pic:pic>
              </a:graphicData>
            </a:graphic>
          </wp:inline>
        </w:drawing>
      </w:r>
    </w:p>
    <w:p>
      <w:pPr>
        <w:rPr>
          <w:rFonts w:ascii="仿宋_GB2312" w:eastAsia="仿宋_GB2312"/>
          <w:sz w:val="32"/>
          <w:szCs w:val="32"/>
        </w:rPr>
      </w:pPr>
    </w:p>
    <w:p>
      <w:pPr>
        <w:rPr>
          <w:rFonts w:ascii="仿宋_GB2312" w:eastAsia="仿宋_GB2312"/>
          <w:sz w:val="32"/>
          <w:szCs w:val="32"/>
        </w:rPr>
      </w:pPr>
      <w:r>
        <w:drawing>
          <wp:inline distT="0" distB="0" distL="0" distR="0">
            <wp:extent cx="5446395" cy="8699500"/>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70543" cy="8737528"/>
                    </a:xfrm>
                    <a:prstGeom prst="rect">
                      <a:avLst/>
                    </a:prstGeom>
                    <a:noFill/>
                    <a:ln>
                      <a:noFill/>
                    </a:ln>
                  </pic:spPr>
                </pic:pic>
              </a:graphicData>
            </a:graphic>
          </wp:inline>
        </w:drawing>
      </w:r>
    </w:p>
    <w:p>
      <w:pPr>
        <w:rPr>
          <w:rFonts w:ascii="仿宋_GB2312" w:eastAsia="仿宋_GB2312"/>
          <w:sz w:val="32"/>
          <w:szCs w:val="32"/>
        </w:rPr>
      </w:pPr>
      <w:r>
        <w:drawing>
          <wp:inline distT="0" distB="0" distL="0" distR="0">
            <wp:extent cx="5346700" cy="876998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351410" cy="8777196"/>
                    </a:xfrm>
                    <a:prstGeom prst="rect">
                      <a:avLst/>
                    </a:prstGeom>
                    <a:noFill/>
                    <a:ln>
                      <a:noFill/>
                    </a:ln>
                  </pic:spPr>
                </pic:pic>
              </a:graphicData>
            </a:graphic>
          </wp:inline>
        </w:drawing>
      </w:r>
    </w:p>
    <w:p>
      <w:pPr>
        <w:rPr>
          <w:rFonts w:ascii="仿宋_GB2312" w:eastAsia="仿宋_GB2312"/>
          <w:sz w:val="32"/>
          <w:szCs w:val="32"/>
        </w:rPr>
      </w:pPr>
      <w:r>
        <w:rPr>
          <w:rFonts w:hint="eastAsia"/>
        </w:rPr>
        <w:drawing>
          <wp:inline distT="0" distB="0" distL="0" distR="0">
            <wp:extent cx="5274310" cy="698754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6987871"/>
                    </a:xfrm>
                    <a:prstGeom prst="rect">
                      <a:avLst/>
                    </a:prstGeom>
                    <a:noFill/>
                    <a:ln>
                      <a:noFill/>
                    </a:ln>
                  </pic:spPr>
                </pic:pic>
              </a:graphicData>
            </a:graphic>
          </wp:inline>
        </w:drawing>
      </w:r>
    </w:p>
    <w:p>
      <w:pPr>
        <w:rPr>
          <w:rFonts w:ascii="仿宋_GB2312" w:eastAsia="仿宋_GB2312"/>
          <w:sz w:val="32"/>
          <w:szCs w:val="32"/>
        </w:rPr>
      </w:pPr>
    </w:p>
    <w:p>
      <w:pPr>
        <w:rPr>
          <w:rFonts w:ascii="仿宋_GB2312" w:eastAsia="仿宋_GB2312"/>
          <w:sz w:val="32"/>
          <w:szCs w:val="32"/>
        </w:rPr>
      </w:pPr>
    </w:p>
    <w:p>
      <w:pPr>
        <w:rPr>
          <w:rFonts w:hint="eastAsia" w:ascii="仿宋_GB2312" w:eastAsia="仿宋_GB2312"/>
          <w:sz w:val="32"/>
          <w:szCs w:val="32"/>
        </w:rPr>
      </w:pPr>
    </w:p>
    <w:p>
      <w:pPr>
        <w:rPr>
          <w:rFonts w:ascii="仿宋_GB2312" w:eastAsia="仿宋_GB2312"/>
          <w:sz w:val="32"/>
          <w:szCs w:val="32"/>
        </w:rPr>
      </w:pPr>
    </w:p>
    <w:p>
      <w:pPr>
        <w:sectPr>
          <w:pgSz w:w="11906" w:h="16838"/>
          <w:pgMar w:top="1440" w:right="1800" w:bottom="1440" w:left="1800" w:header="851" w:footer="992" w:gutter="0"/>
          <w:cols w:space="720" w:num="1"/>
          <w:docGrid w:type="lines" w:linePitch="312" w:charSpace="0"/>
        </w:sectPr>
      </w:pPr>
    </w:p>
    <w:p>
      <w:p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-282575</wp:posOffset>
            </wp:positionH>
            <wp:positionV relativeFrom="paragraph">
              <wp:posOffset>429260</wp:posOffset>
            </wp:positionV>
            <wp:extent cx="5945505" cy="7486015"/>
            <wp:effectExtent l="0" t="0" r="17145" b="635"/>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945505" cy="7486015"/>
                    </a:xfrm>
                    <a:prstGeom prst="rect">
                      <a:avLst/>
                    </a:prstGeom>
                    <a:noFill/>
                    <a:ln>
                      <a:noFill/>
                    </a:ln>
                  </pic:spPr>
                </pic:pic>
              </a:graphicData>
            </a:graphic>
          </wp:anchor>
        </w:drawing>
      </w: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1312" behindDoc="0" locked="0" layoutInCell="1" allowOverlap="1">
            <wp:simplePos x="0" y="0"/>
            <wp:positionH relativeFrom="column">
              <wp:posOffset>-596900</wp:posOffset>
            </wp:positionH>
            <wp:positionV relativeFrom="paragraph">
              <wp:posOffset>215900</wp:posOffset>
            </wp:positionV>
            <wp:extent cx="6586855" cy="3632835"/>
            <wp:effectExtent l="0" t="0" r="4445" b="571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6586855" cy="3632835"/>
                    </a:xfrm>
                    <a:prstGeom prst="rect">
                      <a:avLst/>
                    </a:prstGeom>
                    <a:noFill/>
                    <a:ln>
                      <a:noFill/>
                    </a:ln>
                  </pic:spPr>
                </pic:pic>
              </a:graphicData>
            </a:graphic>
          </wp:anchor>
        </w:drawing>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114300" distR="114300" simplePos="0" relativeHeight="251662336" behindDoc="0" locked="0" layoutInCell="1" allowOverlap="1">
            <wp:simplePos x="0" y="0"/>
            <wp:positionH relativeFrom="column">
              <wp:posOffset>-391160</wp:posOffset>
            </wp:positionH>
            <wp:positionV relativeFrom="paragraph">
              <wp:posOffset>113665</wp:posOffset>
            </wp:positionV>
            <wp:extent cx="6228080" cy="3796030"/>
            <wp:effectExtent l="0" t="0" r="1270" b="13970"/>
            <wp:wrapSquare wrapText="bothSides"/>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6228080" cy="3796030"/>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inline distT="0" distB="0" distL="0" distR="0">
            <wp:extent cx="5306060" cy="2846070"/>
            <wp:effectExtent l="0" t="0" r="889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19636" cy="2853513"/>
                    </a:xfrm>
                    <a:prstGeom prst="rect">
                      <a:avLst/>
                    </a:prstGeom>
                    <a:noFill/>
                    <a:ln>
                      <a:noFill/>
                    </a:ln>
                  </pic:spPr>
                </pic:pic>
              </a:graphicData>
            </a:graphic>
          </wp:inline>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ind w:firstLine="640" w:firstLineChars="200"/>
        <w:outlineLvl w:val="1"/>
        <w:rPr>
          <w:rFonts w:ascii="仿宋_GB2312" w:eastAsia="仿宋_GB2312"/>
          <w:sz w:val="32"/>
          <w:szCs w:val="32"/>
        </w:rPr>
      </w:pPr>
    </w:p>
    <w:p>
      <w:pPr>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69001D"/>
    <w:rsid w:val="00142787"/>
    <w:rsid w:val="0018368E"/>
    <w:rsid w:val="001B6B0F"/>
    <w:rsid w:val="001C0BCE"/>
    <w:rsid w:val="001C5D56"/>
    <w:rsid w:val="00213C59"/>
    <w:rsid w:val="0025471E"/>
    <w:rsid w:val="003101AB"/>
    <w:rsid w:val="003174EB"/>
    <w:rsid w:val="003210CE"/>
    <w:rsid w:val="003C64C5"/>
    <w:rsid w:val="004B3536"/>
    <w:rsid w:val="00584954"/>
    <w:rsid w:val="005960A8"/>
    <w:rsid w:val="00644408"/>
    <w:rsid w:val="0069001D"/>
    <w:rsid w:val="006B694A"/>
    <w:rsid w:val="006D1EF8"/>
    <w:rsid w:val="00744E6D"/>
    <w:rsid w:val="007B3F12"/>
    <w:rsid w:val="00825924"/>
    <w:rsid w:val="008B2926"/>
    <w:rsid w:val="008B5426"/>
    <w:rsid w:val="008F3925"/>
    <w:rsid w:val="00963E4A"/>
    <w:rsid w:val="0097053F"/>
    <w:rsid w:val="009E3C8A"/>
    <w:rsid w:val="00A46662"/>
    <w:rsid w:val="00AC209B"/>
    <w:rsid w:val="00AD23A1"/>
    <w:rsid w:val="00B70D59"/>
    <w:rsid w:val="00C15D54"/>
    <w:rsid w:val="00C24FFC"/>
    <w:rsid w:val="00C5191A"/>
    <w:rsid w:val="00CB361B"/>
    <w:rsid w:val="00DA6BE0"/>
    <w:rsid w:val="00E50161"/>
    <w:rsid w:val="00E600B2"/>
    <w:rsid w:val="00E830C0"/>
    <w:rsid w:val="00EB3C09"/>
    <w:rsid w:val="00EE165F"/>
    <w:rsid w:val="00F52A8D"/>
    <w:rsid w:val="00F929FB"/>
    <w:rsid w:val="00FB6FD9"/>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58024E"/>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9B2849"/>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2749B"/>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6E4497"/>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37DFB"/>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qFormat/>
    <w:uiPriority w:val="99"/>
    <w:pPr>
      <w:keepNext/>
      <w:keepLines/>
      <w:spacing w:before="260" w:after="260"/>
      <w:ind w:firstLine="200" w:firstLineChars="200"/>
      <w:jc w:val="center"/>
      <w:outlineLvl w:val="2"/>
    </w:pPr>
    <w:rPr>
      <w:rFonts w:ascii="Calibri" w:hAnsi="Calibri" w:eastAsia="黑体"/>
      <w:bCs/>
      <w:sz w:val="2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标题 3 字符"/>
    <w:basedOn w:val="11"/>
    <w:link w:val="2"/>
    <w:qFormat/>
    <w:uiPriority w:val="99"/>
    <w:rPr>
      <w:rFonts w:ascii="Calibri" w:hAnsi="Calibri" w:eastAsia="黑体"/>
      <w:bCs/>
      <w:kern w:val="2"/>
      <w:sz w:val="22"/>
      <w:szCs w:val="32"/>
    </w:rPr>
  </w:style>
  <w:style w:type="paragraph" w:customStyle="1" w:styleId="17">
    <w:name w:val="Char"/>
    <w:basedOn w:val="1"/>
    <w:qFormat/>
    <w:uiPriority w:val="99"/>
    <w:rPr>
      <w:rFonts w:ascii="仿宋_GB2312" w:hAnsi="宋体" w:eastAsia="仿宋_GB2312" w:cs="仿宋_GB2312"/>
      <w:color w:val="000000"/>
      <w:kern w:val="16"/>
      <w:sz w:val="22"/>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1044</Words>
  <Characters>5953</Characters>
  <Lines>49</Lines>
  <Paragraphs>13</Paragraphs>
  <TotalTime>6</TotalTime>
  <ScaleCrop>false</ScaleCrop>
  <LinksUpToDate>false</LinksUpToDate>
  <CharactersWithSpaces>6984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2024-08-14T03:31:00Z</dcterms:created>
  <dc:creator>GXR</dc:creator>
  <cp:lastModifiedBy>Administrator</cp:lastModifiedBy>
  <dcterms:modified xsi:type="dcterms:W3CDTF">2024-11-18T11:42:46Z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