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2023</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库尔勒市信访局</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2024年04月22日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1.部门职能</w:t>
      </w:r>
      <w:r>
        <w:rPr>
          <w:rFonts w:hint="eastAsia" w:ascii="仿宋_GB2312" w:hAnsi="宋体" w:eastAsia="仿宋_GB2312"/>
          <w:bCs/>
          <w:sz w:val="32"/>
          <w:szCs w:val="32"/>
        </w:rPr>
        <w:br w:type="textWrapping"/>
      </w:r>
      <w:r>
        <w:rPr>
          <w:rFonts w:hint="eastAsia" w:ascii="仿宋_GB2312" w:hAnsi="宋体" w:eastAsia="仿宋_GB2312"/>
          <w:bCs/>
          <w:sz w:val="32"/>
          <w:szCs w:val="32"/>
        </w:rPr>
        <w:t>贯彻落实人民政府和上级部门关于信访和群众工作的决策部署，定期分析信访形势，通报信访工作情况，提出改进工作意见，督促检查全市信访和群众工作。代表人民政府受理人民来信来电，接待群众来访，交办和转送信访人提出的信访事项。承办人民政府领导同志和上级机关交办的信访事项，督促检查领导批示件的落实情况；督促检查重要信访事项的处理和落实；审结上报重要信访案件。协调处理群众进京、赴非正常上访和突发信访事件；直接查处重大疑难信访案件。宣传信访工作和群众工作政策，对来访群众进行思想教育和疏导；为来访群众提供有关法律、法规和政策咨询服务。征集群众意见，反映社情民意，及时向人民政府报告信访情况，并对涉及群众利益的政策性问题提出意见和建议。监督检查涉及群众利益政策的贯彻落实情况；对涉及群众利益的改革性政策和重大项目进行风险评估，维护群众利益。</w:t>
      </w:r>
      <w:r>
        <w:rPr>
          <w:rFonts w:hint="eastAsia" w:ascii="仿宋_GB2312" w:hAnsi="宋体" w:eastAsia="仿宋_GB2312"/>
          <w:bCs/>
          <w:sz w:val="32"/>
          <w:szCs w:val="32"/>
        </w:rPr>
        <w:br w:type="textWrapping"/>
      </w:r>
      <w:r>
        <w:rPr>
          <w:rFonts w:hint="eastAsia" w:ascii="仿宋_GB2312" w:hAnsi="宋体" w:eastAsia="仿宋_GB2312"/>
          <w:bCs/>
          <w:sz w:val="32"/>
          <w:szCs w:val="32"/>
        </w:rPr>
        <w:t>2.部门机构人员构成情况</w:t>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库尔勒市信访局编制数17人，实有人数16人，其中：在职15人；退休1人；离休0人。</w:t>
      </w:r>
      <w:bookmarkStart w:id="0" w:name="_Hlk43849111"/>
      <w:bookmarkEnd w:id="0"/>
    </w:p>
    <w:p>
      <w:pPr>
        <w:spacing w:line="600" w:lineRule="exact"/>
        <w:ind w:firstLine="964" w:firstLineChars="300"/>
        <w:jc w:val="lef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1.2023年度工作计划</w:t>
      </w:r>
      <w:r>
        <w:rPr>
          <w:rFonts w:hint="eastAsia" w:ascii="仿宋_GB2312" w:hAnsi="宋体" w:eastAsia="仿宋_GB2312"/>
          <w:bCs/>
          <w:sz w:val="32"/>
          <w:szCs w:val="32"/>
        </w:rPr>
        <w:br w:type="textWrapping"/>
      </w:r>
      <w:r>
        <w:rPr>
          <w:rFonts w:hint="eastAsia" w:ascii="仿宋_GB2312" w:hAnsi="宋体" w:eastAsia="仿宋_GB2312"/>
          <w:bCs/>
          <w:sz w:val="32"/>
          <w:szCs w:val="32"/>
        </w:rPr>
        <w:t>一是进一步深入学习贯彻党的二十大</w:t>
      </w:r>
      <w:bookmarkStart w:id="1" w:name="_GoBack"/>
      <w:bookmarkEnd w:id="1"/>
      <w:r>
        <w:rPr>
          <w:rFonts w:hint="eastAsia" w:ascii="仿宋_GB2312" w:hAnsi="宋体" w:eastAsia="仿宋_GB2312"/>
          <w:bCs/>
          <w:sz w:val="32"/>
          <w:szCs w:val="32"/>
        </w:rPr>
        <w:t>精神和各级党委最新部署，把学习贯彻党的二十大精神作为重大政治责任和长期政治任务，每周组织全体干部集中学习和讨论交流，切实把党的二十大的部署和要求落实到信访工作全过程各方面。</w:t>
      </w:r>
      <w:r>
        <w:rPr>
          <w:rFonts w:hint="eastAsia" w:ascii="仿宋_GB2312" w:hAnsi="宋体" w:eastAsia="仿宋_GB2312"/>
          <w:bCs/>
          <w:sz w:val="32"/>
          <w:szCs w:val="32"/>
        </w:rPr>
        <w:br w:type="textWrapping"/>
      </w:r>
      <w:r>
        <w:rPr>
          <w:rFonts w:hint="eastAsia" w:ascii="仿宋_GB2312" w:hAnsi="宋体" w:eastAsia="仿宋_GB2312"/>
          <w:bCs/>
          <w:sz w:val="32"/>
          <w:szCs w:val="32"/>
        </w:rPr>
        <w:t>二是将《信访工作条例》学习贯彻落实贯穿全年工作始终，将信访工作条例宣传培训纳入市委党校重点培训内容，常态化组织信访干事开展网上信访学习和测试，边学边练，岗位练兵，提升技能，打造一支作风过硬、能力过硬、群众信赖的信访干部队伍。</w:t>
      </w:r>
      <w:r>
        <w:rPr>
          <w:rFonts w:hint="eastAsia" w:ascii="仿宋_GB2312" w:hAnsi="宋体" w:eastAsia="仿宋_GB2312"/>
          <w:bCs/>
          <w:sz w:val="32"/>
          <w:szCs w:val="32"/>
        </w:rPr>
        <w:br w:type="textWrapping"/>
      </w:r>
      <w:r>
        <w:rPr>
          <w:rFonts w:hint="eastAsia" w:ascii="仿宋_GB2312" w:hAnsi="宋体" w:eastAsia="仿宋_GB2312"/>
          <w:bCs/>
          <w:sz w:val="32"/>
          <w:szCs w:val="32"/>
        </w:rPr>
        <w:t>三是全面排查化解信访风险隐患。持续督导属地乡镇、街道和部门行业单位，深入开展信访风险隐患排查，对排查出的问题和人员，督导责任单位和属地全部落实包案领导和化解稳控责任，整合基层资源力量多元化解矛盾纠纷，切实把问题解决在基层、人员稳控在当地，打牢化解矛盾、消除隐患的“第一道防线”。按照“三到位一处理”要求，依法依规综合施策，分类处理，确保问题化解、人员稳定。</w:t>
      </w:r>
      <w:r>
        <w:rPr>
          <w:rFonts w:hint="eastAsia" w:ascii="仿宋_GB2312" w:hAnsi="宋体" w:eastAsia="仿宋_GB2312"/>
          <w:bCs/>
          <w:sz w:val="32"/>
          <w:szCs w:val="32"/>
        </w:rPr>
        <w:br w:type="textWrapping"/>
      </w:r>
      <w:r>
        <w:rPr>
          <w:rFonts w:hint="eastAsia" w:ascii="仿宋_GB2312" w:hAnsi="宋体" w:eastAsia="仿宋_GB2312"/>
          <w:bCs/>
          <w:sz w:val="32"/>
          <w:szCs w:val="32"/>
        </w:rPr>
        <w:t>四是督促各级领导包案制度落实，去存量，补短板，推动信访积案化解，切实落实重大包案案件纳入市党委督查、市信联办日常督查制度，推动加快重大信访积案化解进度。开展回头看，巩固集中治理重复信访、化解信访积案专项工作成果，确保已化解信访问题不反弹。</w:t>
      </w:r>
      <w:r>
        <w:rPr>
          <w:rFonts w:hint="eastAsia" w:ascii="仿宋_GB2312" w:hAnsi="宋体" w:eastAsia="仿宋_GB2312"/>
          <w:bCs/>
          <w:sz w:val="32"/>
          <w:szCs w:val="32"/>
        </w:rPr>
        <w:br w:type="textWrapping"/>
      </w:r>
      <w:r>
        <w:rPr>
          <w:rFonts w:hint="eastAsia" w:ascii="仿宋_GB2312" w:hAnsi="宋体" w:eastAsia="仿宋_GB2312"/>
          <w:bCs/>
          <w:sz w:val="32"/>
          <w:szCs w:val="32"/>
        </w:rPr>
        <w:t>2.机构人员保障情况</w:t>
      </w:r>
      <w:r>
        <w:rPr>
          <w:rFonts w:hint="eastAsia" w:ascii="仿宋_GB2312" w:hAnsi="宋体" w:eastAsia="仿宋_GB2312"/>
          <w:bCs/>
          <w:sz w:val="32"/>
          <w:szCs w:val="32"/>
        </w:rPr>
        <w:br w:type="textWrapping"/>
      </w:r>
      <w:r>
        <w:rPr>
          <w:rFonts w:hint="eastAsia" w:ascii="仿宋_GB2312" w:hAnsi="宋体" w:eastAsia="仿宋_GB2312"/>
          <w:bCs/>
          <w:sz w:val="32"/>
          <w:szCs w:val="32"/>
        </w:rPr>
        <w:t>库尔勒市信访局2023年通过本部门预算支出，确保了15名在职人员的工资、津贴、补贴、社保、绩效、公积金等以及1名离退休人员的工资、医疗费等。人员保障性经费能够依规、按时、足额发放或缴纳，提升部门人员工作积极性和服务质量。同时，保障了部门全年正常运转，为部门正常履职和开展综合性事务管理提供有效支撑，确保了公用保障性经费按照财政安排和相关工作要求及时支出。</w:t>
      </w:r>
    </w:p>
    <w:p>
      <w:pPr>
        <w:spacing w:line="600" w:lineRule="exact"/>
        <w:ind w:firstLine="964" w:firstLineChars="300"/>
        <w:jc w:val="lef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1.年初预算安排</w:t>
      </w:r>
      <w:r>
        <w:rPr>
          <w:rFonts w:hint="eastAsia" w:ascii="仿宋_GB2312" w:hAnsi="宋体" w:eastAsia="仿宋_GB2312"/>
          <w:bCs/>
          <w:sz w:val="32"/>
          <w:szCs w:val="32"/>
        </w:rPr>
        <w:br w:type="textWrapping"/>
      </w:r>
      <w:r>
        <w:rPr>
          <w:rFonts w:hint="eastAsia" w:ascii="仿宋_GB2312" w:hAnsi="宋体" w:eastAsia="仿宋_GB2312"/>
          <w:bCs/>
          <w:sz w:val="32"/>
          <w:szCs w:val="32"/>
        </w:rPr>
        <w:t>2023年我部门年初安排预算数为305.85万元，其中:上级安排0万元,本级安排305.85万元，其他资金0万元。</w:t>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综上所述，部门预算安排与本单位职能关联度较高，预算安排结构清晰明了，能够直观展示各项费用的分配情况，预算规模合理，为单位的稳健发展和高效运行提供了有力保障。</w:t>
      </w:r>
      <w:r>
        <w:rPr>
          <w:rFonts w:hint="eastAsia" w:ascii="仿宋_GB2312" w:hAnsi="宋体" w:eastAsia="仿宋_GB2312"/>
          <w:bCs/>
          <w:sz w:val="32"/>
          <w:szCs w:val="32"/>
        </w:rPr>
        <w:br w:type="textWrapping"/>
      </w:r>
      <w:r>
        <w:rPr>
          <w:rFonts w:hint="eastAsia" w:ascii="仿宋_GB2312" w:hAnsi="宋体" w:eastAsia="仿宋_GB2312"/>
          <w:bCs/>
          <w:sz w:val="32"/>
          <w:szCs w:val="32"/>
        </w:rPr>
        <w:t>2.预算年中调整情况</w:t>
      </w:r>
      <w:r>
        <w:rPr>
          <w:rFonts w:hint="eastAsia" w:ascii="仿宋_GB2312" w:hAnsi="宋体" w:eastAsia="仿宋_GB2312"/>
          <w:bCs/>
          <w:sz w:val="32"/>
          <w:szCs w:val="32"/>
        </w:rPr>
        <w:br w:type="textWrapping"/>
      </w:r>
      <w:r>
        <w:rPr>
          <w:rFonts w:hint="eastAsia" w:ascii="仿宋_GB2312" w:hAnsi="宋体" w:eastAsia="仿宋_GB2312"/>
          <w:bCs/>
          <w:sz w:val="32"/>
          <w:szCs w:val="32"/>
        </w:rPr>
        <w:t>我部门年初安排预算数305.85万元，年中调整数-10.81万元，调整后全年预算数295.04万元，预算调整率3.53%。</w:t>
      </w:r>
      <w:r>
        <w:rPr>
          <w:rFonts w:hint="eastAsia" w:ascii="仿宋_GB2312" w:hAnsi="宋体" w:eastAsia="仿宋_GB2312"/>
          <w:bCs/>
          <w:sz w:val="32"/>
          <w:szCs w:val="32"/>
        </w:rPr>
        <w:br w:type="textWrapping"/>
      </w:r>
      <w:r>
        <w:rPr>
          <w:rFonts w:hint="eastAsia" w:ascii="仿宋_GB2312" w:hAnsi="宋体" w:eastAsia="仿宋_GB2312"/>
          <w:bCs/>
          <w:sz w:val="32"/>
          <w:szCs w:val="32"/>
        </w:rPr>
        <w:t>综上所述，年中预算调整幅度与本单位运转情况和履职情况相匹配，未出现资金收支不平衡以及债务风险等负面影响，确保了预算调整的合理性和必要性。</w:t>
      </w:r>
      <w:r>
        <w:rPr>
          <w:rFonts w:hint="eastAsia" w:ascii="仿宋_GB2312" w:hAnsi="宋体" w:eastAsia="仿宋_GB2312"/>
          <w:bCs/>
          <w:sz w:val="32"/>
          <w:szCs w:val="32"/>
        </w:rPr>
        <w:br w:type="textWrapping"/>
      </w:r>
      <w:r>
        <w:rPr>
          <w:rFonts w:hint="eastAsia" w:ascii="仿宋_GB2312" w:hAnsi="宋体" w:eastAsia="仿宋_GB2312"/>
          <w:bCs/>
          <w:sz w:val="32"/>
          <w:szCs w:val="32"/>
        </w:rPr>
        <w:t>3.资金使用主要内容、涉及的范围</w:t>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我单位2023年度部门整体支出为295.04万元，其中：</w:t>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271.42万元，主要用于：基本工资、津贴补贴、奖金、机关事业单位基本养老保险缴费、职业年金缴费、职工基本医疗保险缴费、办公费、差旅费、维修（护）费、福利费、退休费，抚恤金，生活补助，其他个人补助支出等。</w:t>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23.62万元，主要用于2023年解决疑难信访问题资金项目10万元、自治区解决特殊疑难信访问题项目5万元、部门专项-临时性应急劝返经费项目2万元、部门专项-长期驻京驻乌劝返工作人员补贴项目1.62万元、部门专项-信访局大楼运行经费项目5万元。</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（一）基本支出投入、管理和使用情况</w:t>
      </w:r>
      <w:r>
        <w:rPr>
          <w:rFonts w:hint="eastAsia" w:ascii="仿宋_GB2312" w:hAnsi="宋体" w:eastAsia="仿宋_GB2312"/>
          <w:bCs/>
          <w:sz w:val="32"/>
          <w:szCs w:val="32"/>
        </w:rPr>
        <w:br w:type="textWrapping"/>
      </w:r>
      <w:r>
        <w:rPr>
          <w:rFonts w:hint="eastAsia" w:ascii="仿宋_GB2312" w:hAnsi="宋体" w:eastAsia="仿宋_GB2312"/>
          <w:bCs/>
          <w:sz w:val="32"/>
          <w:szCs w:val="32"/>
        </w:rPr>
        <w:t>1.基本支出投入和使用情况</w:t>
      </w:r>
      <w:r>
        <w:rPr>
          <w:rFonts w:hint="eastAsia" w:ascii="仿宋_GB2312" w:hAnsi="宋体" w:eastAsia="仿宋_GB2312"/>
          <w:bCs/>
          <w:sz w:val="32"/>
          <w:szCs w:val="32"/>
        </w:rPr>
        <w:br w:type="textWrapping"/>
      </w:r>
      <w:r>
        <w:rPr>
          <w:rFonts w:hint="eastAsia" w:ascii="仿宋_GB2312" w:hAnsi="宋体" w:eastAsia="仿宋_GB2312"/>
          <w:bCs/>
          <w:sz w:val="32"/>
          <w:szCs w:val="32"/>
        </w:rPr>
        <w:t>2023年我部门基本支出年初预算安排283.85万元，全年预算数271.42万元，全年实际支出数271.42万元，其中：人员经费251.11万元，公用经费20.31万元。全年预算执行率100.00%。</w:t>
      </w:r>
      <w:r>
        <w:rPr>
          <w:rFonts w:hint="eastAsia" w:ascii="仿宋_GB2312" w:hAnsi="宋体" w:eastAsia="仿宋_GB2312"/>
          <w:bCs/>
          <w:sz w:val="32"/>
          <w:szCs w:val="32"/>
        </w:rPr>
        <w:br w:type="textWrapping"/>
      </w:r>
      <w:r>
        <w:rPr>
          <w:rFonts w:hint="eastAsia" w:ascii="仿宋_GB2312" w:hAnsi="宋体" w:eastAsia="仿宋_GB2312"/>
          <w:bCs/>
          <w:sz w:val="32"/>
          <w:szCs w:val="32"/>
        </w:rPr>
        <w:t>2.基本支出管理情况</w:t>
      </w:r>
      <w:r>
        <w:rPr>
          <w:rFonts w:hint="eastAsia" w:ascii="仿宋_GB2312" w:hAnsi="宋体" w:eastAsia="仿宋_GB2312"/>
          <w:bCs/>
          <w:sz w:val="32"/>
          <w:szCs w:val="32"/>
        </w:rPr>
        <w:br w:type="textWrapping"/>
      </w:r>
      <w:r>
        <w:rPr>
          <w:rFonts w:hint="eastAsia" w:ascii="仿宋_GB2312" w:hAnsi="宋体" w:eastAsia="仿宋_GB2312"/>
          <w:bCs/>
          <w:sz w:val="32"/>
          <w:szCs w:val="32"/>
        </w:rPr>
        <w:t>基本支出严格按照财务管理制度执行。人员工资由相关部门严格审核，按月申报及发放。基本公用经费主要用于支付单位日常的办公费、邮电费、差旅费、维修（护）费、劳务费、车辆运行维护费等。公务用车运行维护费主要用于单位车辆加油、维修及购买车辆保险。</w:t>
      </w:r>
      <w:r>
        <w:rPr>
          <w:rFonts w:hint="eastAsia" w:ascii="仿宋_GB2312" w:hAnsi="宋体" w:eastAsia="仿宋_GB2312"/>
          <w:bCs/>
          <w:sz w:val="32"/>
          <w:szCs w:val="32"/>
        </w:rPr>
        <w:br w:type="textWrapping"/>
      </w:r>
      <w:r>
        <w:rPr>
          <w:rFonts w:hint="eastAsia" w:ascii="仿宋_GB2312" w:hAnsi="宋体" w:eastAsia="仿宋_GB2312"/>
          <w:bCs/>
          <w:sz w:val="32"/>
          <w:szCs w:val="32"/>
        </w:rPr>
        <w:t>（二）项目支出投入、管理和使用情况</w:t>
      </w:r>
      <w:r>
        <w:rPr>
          <w:rFonts w:hint="eastAsia" w:ascii="仿宋_GB2312" w:hAnsi="宋体" w:eastAsia="仿宋_GB2312"/>
          <w:bCs/>
          <w:sz w:val="32"/>
          <w:szCs w:val="32"/>
        </w:rPr>
        <w:br w:type="textWrapping"/>
      </w:r>
      <w:r>
        <w:rPr>
          <w:rFonts w:hint="eastAsia" w:ascii="仿宋_GB2312" w:hAnsi="宋体" w:eastAsia="仿宋_GB2312"/>
          <w:bCs/>
          <w:sz w:val="32"/>
          <w:szCs w:val="32"/>
        </w:rPr>
        <w:t>1.项目支出投入和使用情况</w:t>
      </w:r>
      <w:r>
        <w:rPr>
          <w:rFonts w:hint="eastAsia" w:ascii="仿宋_GB2312" w:hAnsi="宋体" w:eastAsia="仿宋_GB2312"/>
          <w:bCs/>
          <w:sz w:val="32"/>
          <w:szCs w:val="32"/>
        </w:rPr>
        <w:br w:type="textWrapping"/>
      </w:r>
      <w:r>
        <w:rPr>
          <w:rFonts w:hint="eastAsia" w:ascii="仿宋_GB2312" w:hAnsi="宋体" w:eastAsia="仿宋_GB2312"/>
          <w:bCs/>
          <w:sz w:val="32"/>
          <w:szCs w:val="32"/>
        </w:rPr>
        <w:t>2023年本单位共安排5个项目，全年预算数为23.62万元，全年实际支出数23.62万元，执行率100.00%。</w:t>
      </w:r>
      <w:r>
        <w:rPr>
          <w:rFonts w:hint="eastAsia" w:ascii="仿宋_GB2312" w:hAnsi="宋体" w:eastAsia="仿宋_GB2312"/>
          <w:bCs/>
          <w:sz w:val="32"/>
          <w:szCs w:val="32"/>
        </w:rPr>
        <w:br w:type="textWrapping"/>
      </w:r>
      <w:r>
        <w:rPr>
          <w:rFonts w:hint="eastAsia" w:ascii="仿宋_GB2312" w:hAnsi="宋体" w:eastAsia="仿宋_GB2312"/>
          <w:bCs/>
          <w:sz w:val="32"/>
          <w:szCs w:val="32"/>
        </w:rPr>
        <w:t>其中:上级安排项目2个15万元，本级安排项目3个8.62万元,其他资金安排项目0个0万元。</w:t>
      </w:r>
      <w:r>
        <w:rPr>
          <w:rFonts w:hint="eastAsia" w:ascii="仿宋_GB2312" w:hAnsi="宋体" w:eastAsia="仿宋_GB2312"/>
          <w:bCs/>
          <w:sz w:val="32"/>
          <w:szCs w:val="32"/>
        </w:rPr>
        <w:br w:type="textWrapping"/>
      </w:r>
      <w:r>
        <w:rPr>
          <w:rFonts w:hint="eastAsia" w:ascii="仿宋_GB2312" w:hAnsi="宋体" w:eastAsia="仿宋_GB2312"/>
          <w:bCs/>
          <w:sz w:val="32"/>
          <w:szCs w:val="32"/>
        </w:rPr>
        <w:t>2.项目支出管理情况</w:t>
      </w:r>
      <w:r>
        <w:rPr>
          <w:rFonts w:hint="eastAsia" w:ascii="仿宋_GB2312" w:hAnsi="宋体" w:eastAsia="仿宋_GB2312"/>
          <w:bCs/>
          <w:sz w:val="32"/>
          <w:szCs w:val="32"/>
        </w:rPr>
        <w:br w:type="textWrapping"/>
      </w:r>
      <w:r>
        <w:rPr>
          <w:rFonts w:hint="eastAsia" w:ascii="仿宋_GB2312" w:hAnsi="宋体" w:eastAsia="仿宋_GB2312"/>
          <w:bCs/>
          <w:sz w:val="32"/>
          <w:szCs w:val="32"/>
        </w:rPr>
        <w:t>（1）依据《关于印发&lt;自治区财政资金使用跟踪反馈管理暂行办法&gt;的通知》（新财预字【2016】113号）、《中华人民共和国预算法》等相关资金、项目管理办法执行，按比例按资金用途使用，实行专款专用、严禁挤占挪用。加强对项目资金的预算执行及日常监督管理，确保每个项目按照规定的用途实施。</w:t>
      </w:r>
      <w:r>
        <w:rPr>
          <w:rFonts w:hint="eastAsia" w:ascii="仿宋_GB2312" w:hAnsi="宋体" w:eastAsia="仿宋_GB2312"/>
          <w:bCs/>
          <w:sz w:val="32"/>
          <w:szCs w:val="32"/>
        </w:rPr>
        <w:br w:type="textWrapping"/>
      </w:r>
      <w:r>
        <w:rPr>
          <w:rFonts w:hint="eastAsia" w:ascii="仿宋_GB2312" w:hAnsi="宋体" w:eastAsia="仿宋_GB2312"/>
          <w:bCs/>
          <w:sz w:val="32"/>
          <w:szCs w:val="32"/>
        </w:rPr>
        <w:t>（2）资金拨付审批手续完整。项目资金专款专用，不存在支出依据不合规，序列项目支出，截留，挤占，挪用和超标准支出等现象，使项目资金的运用得到了合理的控制，项目得到了切实的保障。</w:t>
      </w:r>
      <w:r>
        <w:rPr>
          <w:rFonts w:hint="eastAsia" w:ascii="仿宋_GB2312" w:hAnsi="宋体" w:eastAsia="仿宋_GB2312"/>
          <w:bCs/>
          <w:sz w:val="32"/>
          <w:szCs w:val="32"/>
        </w:rPr>
        <w:br w:type="textWrapping"/>
      </w:r>
      <w:r>
        <w:rPr>
          <w:rFonts w:hint="eastAsia" w:ascii="仿宋_GB2312" w:hAnsi="宋体" w:eastAsia="仿宋_GB2312"/>
          <w:bCs/>
          <w:sz w:val="32"/>
          <w:szCs w:val="32"/>
        </w:rPr>
        <w:t>（3）会计信息质量真实。严格执行《会计法》等财经法规，严格按照相关会计制度办理会计业务，进行会计核算，并做好会计记录，真实的反映项目资金管理情况，并接受财政、审批部门及上级主管部门的检查、监督。</w:t>
      </w:r>
      <w:r>
        <w:rPr>
          <w:rFonts w:hint="eastAsia" w:ascii="仿宋_GB2312" w:hAnsi="宋体" w:eastAsia="仿宋_GB2312"/>
          <w:bCs/>
          <w:sz w:val="32"/>
          <w:szCs w:val="32"/>
        </w:rPr>
        <w:br w:type="textWrapping"/>
      </w:r>
      <w:r>
        <w:rPr>
          <w:rFonts w:hint="eastAsia" w:ascii="仿宋_GB2312" w:hAnsi="宋体" w:eastAsia="仿宋_GB2312"/>
          <w:bCs/>
          <w:sz w:val="32"/>
          <w:szCs w:val="32"/>
        </w:rPr>
        <w:t>（4）执行预决算管理。严格按预算管理要求使用资金，严格按进度和合同拨付资金，严格执行政府采购制度；严格执行国库集中支付制度，严防截留、挪用资金。</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我单位2023年度部门整体支出绩效目标围绕部门职能、中长期规划、年度工作计划、重点工作任务及要求，确定年度部门整体支出的绩效目标。拟通过绩效评价分析部门整体支出对单位基本运转及单位职能履职的保障作用，总结经验做法，找出资金使用和管理中的薄弱环节，进一步加强预算管理，提高财政资金使用效益。</w:t>
      </w:r>
      <w:r>
        <w:rPr>
          <w:rFonts w:hint="eastAsia" w:ascii="仿宋_GB2312" w:hAnsi="宋体" w:eastAsia="仿宋_GB2312"/>
          <w:bCs/>
          <w:sz w:val="32"/>
          <w:szCs w:val="32"/>
        </w:rPr>
        <w:br w:type="textWrapping"/>
      </w:r>
      <w:r>
        <w:rPr>
          <w:rFonts w:hint="eastAsia" w:ascii="仿宋_GB2312" w:hAnsi="宋体" w:eastAsia="仿宋_GB2312"/>
          <w:bCs/>
          <w:sz w:val="32"/>
          <w:szCs w:val="32"/>
        </w:rPr>
        <w:t>我单位将部门单位整体绩效目标细化分解为具体的绩效指标，一级指标共1条，二级指标共2条，三级指标共5条，其中量化指标条数共5条，所有绩效指标均通过清晰、可衡量的指标值予以体现。</w:t>
      </w:r>
      <w:r>
        <w:rPr>
          <w:rFonts w:hint="eastAsia" w:ascii="仿宋_GB2312" w:hAnsi="宋体" w:eastAsia="仿宋_GB2312"/>
          <w:bCs/>
          <w:sz w:val="32"/>
          <w:szCs w:val="32"/>
        </w:rPr>
        <w:br w:type="textWrapping"/>
      </w:r>
      <w:r>
        <w:rPr>
          <w:rFonts w:hint="eastAsia" w:ascii="仿宋_GB2312" w:hAnsi="宋体" w:eastAsia="仿宋_GB2312"/>
          <w:bCs/>
          <w:sz w:val="32"/>
          <w:szCs w:val="32"/>
        </w:rPr>
        <w:t>（一）指标一：运行成本</w:t>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（二）指标二：管理效率</w:t>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（三）指标三：履职效能</w:t>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数量指标1：信访案件及时受理率,预期指标值为：&gt;=90%；监控节点完成值：=90%；评价实际完成值：=90%；指标完成率：100.00%；成效分析：加强了信访工作的领导，强化责任意识。</w:t>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2：信访事项化解率,预期指标值为：&gt;=90%；监控节点完成值：=90%；评价实际完成值：=90%；指标完成率：100.00%；成效分析：健全完善了信访工作网络，细化了矛盾排查。对排查出的信访隐患，及时组织人力物力进行处理，确保了矛盾不被激化。</w:t>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3：驻京驻乌劝返人数,预期指标值为：&gt;=1人；监控节点完成值：=1人；评价实际完成值：=1人；指标完成率：100.00%；成效分析：严格落实了紧盯源头稳控，加大劝返化解力度，确保全国两会期间我市进京访秩序良好稳定。</w:t>
      </w:r>
      <w:r>
        <w:rPr>
          <w:rFonts w:hint="eastAsia" w:ascii="仿宋_GB2312" w:hAnsi="宋体" w:eastAsia="仿宋_GB2312"/>
          <w:bCs/>
          <w:sz w:val="32"/>
          <w:szCs w:val="32"/>
        </w:rPr>
        <w:br w:type="textWrapping"/>
      </w:r>
      <w:r>
        <w:rPr>
          <w:rFonts w:hint="eastAsia" w:ascii="仿宋_GB2312" w:hAnsi="宋体" w:eastAsia="仿宋_GB2312"/>
          <w:bCs/>
          <w:sz w:val="32"/>
          <w:szCs w:val="32"/>
        </w:rPr>
        <w:t>数量指标4：聘请法律顾问人数,预期指标值为：&gt;=1人；监控节点完成值：=1人；评价实际完成值：=1人；指标完成率：100.00%；成效分析：有效提供了法律咨询，防范了法律风险，有效疏导了信访人的情绪，强化了法律在化解矛盾纠纷中的权威地位。</w:t>
      </w:r>
      <w:r>
        <w:rPr>
          <w:rFonts w:hint="eastAsia" w:ascii="仿宋_GB2312" w:hAnsi="宋体" w:eastAsia="仿宋_GB2312"/>
          <w:bCs/>
          <w:sz w:val="32"/>
          <w:szCs w:val="32"/>
        </w:rPr>
        <w:br w:type="textWrapping"/>
      </w:r>
      <w:r>
        <w:rPr>
          <w:rFonts w:hint="eastAsia" w:ascii="仿宋_GB2312" w:hAnsi="宋体" w:eastAsia="仿宋_GB2312"/>
          <w:bCs/>
          <w:sz w:val="32"/>
          <w:szCs w:val="32"/>
        </w:rPr>
        <w:t>质量指标1：联合接访大厅提供律师参与涉法信访工作咨询服务,预期指标值为：=90%；监控节点完成值：=90%；评价实际完成值：100.00%；成效分析：帮助信访人准确理解司法机关依法作出的处理决定，更好地劝导其息诉罢访。</w:t>
      </w:r>
      <w:r>
        <w:rPr>
          <w:rFonts w:hint="eastAsia" w:ascii="仿宋_GB2312" w:hAnsi="宋体" w:eastAsia="仿宋_GB2312"/>
          <w:bCs/>
          <w:sz w:val="32"/>
          <w:szCs w:val="32"/>
        </w:rPr>
        <w:br w:type="textWrapping"/>
      </w:r>
      <w:r>
        <w:rPr>
          <w:rFonts w:hint="eastAsia" w:ascii="仿宋_GB2312" w:hAnsi="宋体" w:eastAsia="仿宋_GB2312"/>
          <w:bCs/>
          <w:sz w:val="32"/>
          <w:szCs w:val="32"/>
        </w:rPr>
        <w:t>（四）指标四：社会效益</w:t>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（五）指标五：可持续发展能力</w:t>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r>
        <w:rPr>
          <w:rFonts w:hint="eastAsia" w:ascii="仿宋_GB2312" w:hAnsi="宋体" w:eastAsia="仿宋_GB2312"/>
          <w:bCs/>
          <w:sz w:val="32"/>
          <w:szCs w:val="32"/>
        </w:rPr>
        <w:br w:type="textWrapping"/>
      </w:r>
      <w:r>
        <w:rPr>
          <w:rFonts w:hint="eastAsia" w:ascii="仿宋_GB2312" w:hAnsi="宋体" w:eastAsia="仿宋_GB2312"/>
          <w:bCs/>
          <w:sz w:val="32"/>
          <w:szCs w:val="32"/>
        </w:rPr>
        <w:t>（六）指标六：服务对象满意度</w:t>
      </w:r>
      <w:r>
        <w:rPr>
          <w:rFonts w:hint="eastAsia" w:ascii="仿宋_GB2312" w:hAnsi="宋体" w:eastAsia="仿宋_GB2312"/>
          <w:bCs/>
          <w:sz w:val="32"/>
          <w:szCs w:val="32"/>
        </w:rPr>
        <w:br w:type="textWrapping"/>
      </w:r>
      <w:r>
        <w:rPr>
          <w:rFonts w:hint="eastAsia" w:ascii="仿宋_GB2312" w:hAnsi="宋体" w:eastAsia="仿宋_GB2312"/>
          <w:bCs/>
          <w:sz w:val="32"/>
          <w:szCs w:val="32"/>
        </w:rPr>
        <w:t>无此项指标。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本部门严格按照科学公正、统筹兼顾、激励约束、公开透明的绩效评价原则，对本部门预算执行情况、部门单位整体支出管理及使用情况、部门单位整体支出绩效指标完成情况等进行了综合评价。</w:t>
      </w:r>
      <w:r>
        <w:rPr>
          <w:rFonts w:hint="eastAsia" w:ascii="仿宋_GB2312" w:hAnsi="宋体" w:eastAsia="仿宋_GB2312"/>
          <w:bCs/>
          <w:sz w:val="32"/>
          <w:szCs w:val="32"/>
        </w:rPr>
        <w:br w:type="textWrapping"/>
      </w:r>
      <w:r>
        <w:rPr>
          <w:rFonts w:hint="eastAsia" w:ascii="仿宋_GB2312" w:hAnsi="宋体" w:eastAsia="仿宋_GB2312"/>
          <w:bCs/>
          <w:sz w:val="32"/>
          <w:szCs w:val="32"/>
        </w:rPr>
        <w:t>2023年度部门整体支出绩效自评综合得分100分，评价结果为优。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预算绩效观念不深入。</w:t>
      </w:r>
      <w:r>
        <w:rPr>
          <w:rFonts w:hint="eastAsia" w:ascii="仿宋_GB2312" w:hAnsi="宋体" w:eastAsia="仿宋_GB2312"/>
          <w:bCs/>
          <w:sz w:val="32"/>
          <w:szCs w:val="32"/>
        </w:rPr>
        <w:br w:type="textWrapping"/>
      </w:r>
      <w:r>
        <w:rPr>
          <w:rFonts w:hint="eastAsia" w:ascii="仿宋_GB2312" w:hAnsi="宋体" w:eastAsia="仿宋_GB2312"/>
          <w:bCs/>
          <w:sz w:val="32"/>
          <w:szCs w:val="32"/>
        </w:rPr>
        <w:t>在日常绩效工作中存在着一定程度的“重分配、轻管理、重支出、轻绩效”的情况，造成该问题的主要原因是自身绩效理念较薄弱，单位绩效目标编制仍有缺失，需要进一步加强对资金绩效管理的重视程度。</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预算绩效规范管理有盲点。</w:t>
      </w:r>
      <w:r>
        <w:rPr>
          <w:rFonts w:hint="eastAsia" w:ascii="仿宋_GB2312" w:hAnsi="宋体" w:eastAsia="仿宋_GB2312"/>
          <w:bCs/>
          <w:sz w:val="32"/>
          <w:szCs w:val="32"/>
        </w:rPr>
        <w:br w:type="textWrapping"/>
      </w:r>
      <w:r>
        <w:rPr>
          <w:rFonts w:hint="eastAsia" w:ascii="仿宋_GB2312" w:hAnsi="宋体" w:eastAsia="仿宋_GB2312"/>
          <w:bCs/>
          <w:sz w:val="32"/>
          <w:szCs w:val="32"/>
        </w:rPr>
        <w:t>财务人员面对当前绩效管理工作既没有现成的经验可供借鉴，又缺乏专业性很强的技能储备，只能是边工作、边学习、边积累，短期内部分工作只能停留在表面，难以做到程序规范、管理科学，难以满足当前绩效管理要求。</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3000509000000000000"/>
    <w:charset w:val="86"/>
    <w:family w:val="script"/>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9"/>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E7721"/>
    <w:rsid w:val="007F0F7C"/>
    <w:rsid w:val="00892E0B"/>
    <w:rsid w:val="008F0DCE"/>
    <w:rsid w:val="00916058"/>
    <w:rsid w:val="00AB72C1"/>
    <w:rsid w:val="00C10BB4"/>
    <w:rsid w:val="00CA440E"/>
    <w:rsid w:val="00CE0C6C"/>
    <w:rsid w:val="00DB647F"/>
    <w:rsid w:val="00DC7E33"/>
    <w:rsid w:val="00E40ABD"/>
    <w:rsid w:val="00E8616A"/>
    <w:rsid w:val="00EB3604"/>
    <w:rsid w:val="020B07BA"/>
    <w:rsid w:val="02656D15"/>
    <w:rsid w:val="06696209"/>
    <w:rsid w:val="0D1922F1"/>
    <w:rsid w:val="10DF6E84"/>
    <w:rsid w:val="1438599A"/>
    <w:rsid w:val="174F63BC"/>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3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8</Pages>
  <Words>592</Words>
  <Characters>3375</Characters>
  <Lines>28</Lines>
  <Paragraphs>7</Paragraphs>
  <TotalTime>2</TotalTime>
  <ScaleCrop>false</ScaleCrop>
  <LinksUpToDate>false</LinksUpToDate>
  <CharactersWithSpaces>3960</CharactersWithSpaces>
  <Application>WPS Office_11.8.2.8959_F1E327BC-269C-435d-A152-05C5408002CA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2024-08-20T10:18:00Z</dcterms:created>
  <dc:creator>hongbing liu</dc:creator>
  <cp:lastModifiedBy>Administrator</cp:lastModifiedBy>
  <dcterms:modified xsi:type="dcterms:W3CDTF">2024-11-29T10:31:38Z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2052-11.8.2.8959</vt:lpwstr>
  </property>
  <property fmtid="{D5CDD505-2E9C-101B-9397-08002B2CF9AE}" pid="3" name="ICV">
    <vt:lpwstr>4E2A216151A24EE5A190066F518526B7</vt:lpwstr>
  </property>
</Properties>
</file>