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库尔勒市供销合作社联合社</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主要职能</w:t>
      </w:r>
      <w:bookmarkEnd w:id="2"/>
      <w:bookmarkEnd w:id="3"/>
    </w:p>
    <w:p>
      <w:pPr>
        <w:pStyle w:val="2"/>
        <w:numPr>
          <w:ilvl w:val="0"/>
          <w:numId w:val="0"/>
        </w:numPr>
        <w:rPr>
          <w:rFonts w:hint="eastAsia" w:ascii="仿宋_GB2312" w:hAnsi="仿宋_GB2312" w:eastAsia="仿宋_GB2312" w:cs="仿宋_GB2312"/>
          <w:b w:val="0"/>
          <w:bCs w:val="0"/>
          <w:lang w:val="en-US" w:eastAsia="zh-CN"/>
        </w:rPr>
      </w:pPr>
      <w:r>
        <w:rPr>
          <w:rFonts w:hint="eastAsia"/>
          <w:lang w:val="en-US" w:eastAsia="zh-CN"/>
        </w:rPr>
        <w:t xml:space="preserve">    （</w:t>
      </w:r>
      <w:r>
        <w:rPr>
          <w:rFonts w:hint="eastAsia" w:ascii="仿宋_GB2312" w:hAnsi="仿宋_GB2312" w:eastAsia="仿宋_GB2312" w:cs="仿宋_GB2312"/>
          <w:b w:val="0"/>
          <w:bCs w:val="0"/>
          <w:lang w:val="en-US" w:eastAsia="zh-CN"/>
        </w:rPr>
        <w:t>一）为“三农”服务，研究制定全市供销社的发展规划。</w:t>
      </w:r>
    </w:p>
    <w:p>
      <w:pPr>
        <w:snapToGrid w:val="0"/>
        <w:spacing w:line="520" w:lineRule="exact"/>
        <w:ind w:firstLine="640" w:firstLineChars="200"/>
        <w:rPr>
          <w:rFonts w:hint="eastAsia" w:ascii="仿宋_GB2312" w:hAnsi="仿宋" w:eastAsia="仿宋_GB2312" w:cs="仿宋"/>
          <w:color w:val="000000"/>
          <w:sz w:val="32"/>
          <w:szCs w:val="32"/>
        </w:rPr>
      </w:pPr>
      <w:bookmarkStart w:id="4" w:name="_Toc31238"/>
      <w:bookmarkStart w:id="5" w:name="_Toc2151"/>
      <w:r>
        <w:rPr>
          <w:rFonts w:hint="eastAsia" w:ascii="仿宋_GB2312" w:hAnsi="仿宋" w:eastAsia="仿宋_GB2312" w:cs="仿宋"/>
          <w:color w:val="000000"/>
          <w:sz w:val="32"/>
          <w:szCs w:val="32"/>
        </w:rPr>
        <w:t>（二）指导全市供销社的改革与发展，负责对重要农业生产资料、农副产品、再生资源经营的组织，协调和管理。</w:t>
      </w:r>
    </w:p>
    <w:p>
      <w:pPr>
        <w:snapToGrid w:val="0"/>
        <w:spacing w:line="520" w:lineRule="exact"/>
        <w:ind w:firstLine="640" w:firstLineChars="200"/>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（三）指导全市供销社系统积极参与农业产业化，搞好农业社会化服务体系和农村商品流通体系建设。</w:t>
      </w:r>
    </w:p>
    <w:p>
      <w:pPr>
        <w:snapToGrid w:val="0"/>
        <w:spacing w:line="520" w:lineRule="exact"/>
        <w:ind w:firstLine="640" w:firstLineChars="200"/>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（四）引导，组织农民进入市场，活跃城乡商品流通，促进城乡经济发展。</w:t>
      </w:r>
    </w:p>
    <w:p>
      <w:pPr>
        <w:snapToGrid w:val="0"/>
        <w:spacing w:line="520" w:lineRule="exact"/>
        <w:ind w:firstLine="640" w:firstLineChars="200"/>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（五）向政府和有关部门反映农民和供销社的意见和要求，协调同有关部门和社会组织的关系；监督管理社有资产，确保社有资产保值增值。</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库尔勒市供销合作社联合社</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库尔勒市供销合作社联合社</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eastAsia="zh-CN"/>
        </w:rPr>
        <w:t>三个</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业务室、财务室、办公室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374.13万元，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374.13万元，使用非财政拨款结余0.00万元，年初结转和结余0.00万元。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374.13万元，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374.13万元，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减少214.48万元</w:t>
      </w:r>
      <w:r>
        <w:rPr>
          <w:rFonts w:hint="eastAsia" w:ascii="仿宋_GB2312" w:eastAsia="仿宋_GB2312"/>
          <w:color w:val="auto"/>
          <w:spacing w:val="0"/>
          <w:sz w:val="32"/>
          <w:szCs w:val="32"/>
          <w:highlight w:val="none"/>
          <w:lang w:eastAsia="zh-CN"/>
        </w:rPr>
        <w:t>，下降36.44%，主要原因是：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w:t>
      </w:r>
      <w:r>
        <w:rPr>
          <w:rFonts w:hint="eastAsia" w:ascii="仿宋_GB2312" w:hAnsi="仿宋" w:eastAsia="仿宋_GB2312"/>
          <w:sz w:val="32"/>
          <w:szCs w:val="32"/>
          <w:lang w:eastAsia="zh-CN"/>
        </w:rPr>
        <w:t>库尔勒市农产品集采集配服务中心建设项目</w:t>
      </w:r>
      <w:r>
        <w:rPr>
          <w:rFonts w:hint="eastAsia" w:ascii="仿宋_GB2312" w:hAnsi="仿宋" w:eastAsia="仿宋_GB2312"/>
          <w:sz w:val="32"/>
          <w:szCs w:val="32"/>
          <w:lang w:val="en-US" w:eastAsia="zh-CN"/>
        </w:rPr>
        <w:t>40万元</w:t>
      </w:r>
      <w:r>
        <w:rPr>
          <w:rFonts w:hint="eastAsia" w:ascii="仿宋_GB2312" w:hAnsi="仿宋" w:eastAsia="仿宋_GB2312"/>
          <w:sz w:val="32"/>
          <w:szCs w:val="32"/>
          <w:lang w:eastAsia="zh-CN"/>
        </w:rPr>
        <w:t>、巴州农特产品外销平台（新疆华夏一州展示展销中心）建设项目</w:t>
      </w:r>
      <w:r>
        <w:rPr>
          <w:rFonts w:hint="eastAsia" w:ascii="仿宋_GB2312" w:hAnsi="仿宋" w:eastAsia="仿宋_GB2312"/>
          <w:sz w:val="32"/>
          <w:szCs w:val="32"/>
          <w:lang w:val="en-US" w:eastAsia="zh-CN"/>
        </w:rPr>
        <w:t>35万元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374.13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374.13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本年支出374.13万元，其中：基本支出174.13万元，占46.54%；项目支出200.00万元，占53.46%；上缴上级支出0.00万元，占0.00%；经营支出0.00万元，占0.00%；对附属单位补助支出0.00万元，占0.00%。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减少139.48万元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下降27.16%,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150万元、商品服务类支出增加10.52万元。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518.44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万元，预决算差异率-27.84%，主要原因是：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150万元、人员经费支出增加5.69万元。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2023年度一般公共预算财政拨款支出374.13万元，占本年支出合计的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减少139.48万元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下降27.16%,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150万元、商品服务类支出增加10.52万元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518.44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374.13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-27.84%</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150万元、人员经费支出增加5.69万元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13.59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商业服务业等支出（类）</w:t>
      </w:r>
      <w:r>
        <w:rPr>
          <w:rFonts w:hint="eastAsia" w:ascii="仿宋_GB2312" w:hAnsi="Times New Roman" w:eastAsia="仿宋_GB2312" w:cs="Times New Roman"/>
          <w:color w:val="auto"/>
          <w:spacing w:val="0"/>
          <w:kern w:val="2"/>
          <w:sz w:val="32"/>
          <w:szCs w:val="32"/>
          <w:highlight w:val="none"/>
          <w:lang w:val="zh-CN" w:eastAsia="zh-CN" w:bidi="ar-SA"/>
        </w:rPr>
        <w:t>130.67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34.93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粮油物资储备支出（类）</w:t>
      </w:r>
      <w:r>
        <w:rPr>
          <w:rFonts w:hint="eastAsia" w:ascii="仿宋_GB2312" w:hAnsi="Times New Roman" w:eastAsia="仿宋_GB2312" w:cs="Times New Roman"/>
          <w:color w:val="auto"/>
          <w:spacing w:val="0"/>
          <w:kern w:val="2"/>
          <w:sz w:val="32"/>
          <w:szCs w:val="32"/>
          <w:highlight w:val="none"/>
          <w:lang w:val="zh-CN" w:eastAsia="zh-CN" w:bidi="ar-SA"/>
        </w:rPr>
        <w:t>200.00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53.46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1.商业服务业等支出（类）商业流通事务（款）事业运行（项）:支出决算数为130.67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8.74%，主要原因是：</w:t>
      </w:r>
      <w:r>
        <w:rPr>
          <w:rFonts w:hint="eastAsia" w:eastAsia="仿宋_GB2312" w:cs="Times New Roman"/>
          <w:color w:val="auto"/>
          <w:kern w:val="2"/>
          <w:sz w:val="32"/>
          <w:szCs w:val="32"/>
          <w:highlight w:val="none"/>
          <w:lang w:val="en-US" w:eastAsia="zh-CN" w:bidi="ar-SA"/>
        </w:rPr>
        <w:t>2023年人员类经费支出增加4.11万元、办公费支出增加6.40万元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2.教育支出（类）进修及培训（款）培训支出（项）:支出决算数为0.29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69.</w:t>
      </w: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培训费支出减少</w:t>
      </w:r>
      <w:r>
        <w:rPr>
          <w:rFonts w:hint="eastAsia" w:eastAsia="仿宋_GB2312" w:cs="Times New Roman"/>
          <w:color w:val="auto"/>
          <w:kern w:val="2"/>
          <w:sz w:val="32"/>
          <w:szCs w:val="32"/>
          <w:highlight w:val="none"/>
          <w:lang w:val="en-US" w:eastAsia="zh-CN" w:bidi="ar-SA"/>
        </w:rPr>
        <w:t>0.65万元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3.卫生健康支出（类）行政事业单位医疗（款）事业单位医疗（项）:支出决算数为13.59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0.40%，主要原因是：</w:t>
      </w:r>
      <w:r>
        <w:rPr>
          <w:rFonts w:hint="eastAsia" w:eastAsia="仿宋_GB2312" w:cs="Times New Roman"/>
          <w:color w:val="auto"/>
          <w:kern w:val="2"/>
          <w:sz w:val="32"/>
          <w:szCs w:val="32"/>
          <w:highlight w:val="none"/>
          <w:lang w:val="en-US" w:eastAsia="zh-CN" w:bidi="ar-SA"/>
        </w:rPr>
        <w:t>2023年职工基本医疗保险缴费支出减少7.07万元、医疗补助支出增加7.12万元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4.社会保障和就业支出（类）行政事业单位养老支出（款）机关事业单位基本养老保险缴费支出（项）:支出决算数为14.82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3.57%，主要原因是：</w:t>
      </w:r>
      <w:r>
        <w:rPr>
          <w:rFonts w:hint="eastAsia" w:eastAsia="仿宋_GB2312" w:cs="Times New Roman"/>
          <w:color w:val="auto"/>
          <w:kern w:val="2"/>
          <w:sz w:val="32"/>
          <w:szCs w:val="32"/>
          <w:highlight w:val="none"/>
          <w:lang w:val="en-US" w:eastAsia="zh-CN" w:bidi="ar-SA"/>
        </w:rPr>
        <w:t>2023年退休人员增加、基本养老保险缴费支出减少0.55万元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54.5</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2023年新增退休人员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6.粮油物资储备支出（类）重要商品储备（款）肉类储备（项）:支出决算数为200.00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减少150万元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下降42.85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val="en-US" w:eastAsia="zh-CN"/>
        </w:rPr>
        <w:t>2023年度</w:t>
      </w:r>
      <w:r>
        <w:rPr>
          <w:rFonts w:hint="eastAsia" w:ascii="仿宋_GB2312" w:hAnsi="仿宋" w:eastAsia="仿宋_GB2312"/>
          <w:sz w:val="32"/>
          <w:szCs w:val="32"/>
        </w:rPr>
        <w:t>减少对企业费用补助</w:t>
      </w:r>
      <w:r>
        <w:rPr>
          <w:rFonts w:hint="eastAsia" w:ascii="仿宋_GB2312" w:hAnsi="仿宋" w:eastAsia="仿宋_GB2312"/>
          <w:sz w:val="32"/>
          <w:szCs w:val="32"/>
          <w:lang w:eastAsia="zh-CN"/>
        </w:rPr>
        <w:t>（价格调节基金）</w:t>
      </w:r>
      <w:r>
        <w:rPr>
          <w:rFonts w:hint="eastAsia" w:ascii="仿宋_GB2312" w:hAnsi="仿宋" w:eastAsia="仿宋_GB2312"/>
          <w:sz w:val="32"/>
          <w:szCs w:val="32"/>
        </w:rPr>
        <w:t>财政拨款支出</w:t>
      </w:r>
      <w:r>
        <w:rPr>
          <w:rFonts w:hint="eastAsia" w:ascii="仿宋_GB2312" w:hAnsi="仿宋" w:eastAsia="仿宋_GB2312"/>
          <w:sz w:val="32"/>
          <w:szCs w:val="32"/>
          <w:lang w:val="en-US" w:eastAsia="zh-CN"/>
        </w:rPr>
        <w:t>150万元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7.住房保障支出（类）住房改革支出（款）住房公积金（项）:支出决算数为11.56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0.2</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2023年住房公积金缴费基数增加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174.13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161.72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基本工资、津贴补贴、奖金、机关事业单位基本养老保险缴费、职工基本医疗保险缴费、其他社会保障缴费、住房公积金、医疗费、退休费、生活补助、医疗费补助。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12.41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主要原因是：以上年一致</w:t>
      </w:r>
      <w:r>
        <w:rPr>
          <w:rFonts w:hint="eastAsia" w:ascii="仿宋" w:hAnsi="仿宋" w:eastAsia="仿宋" w:cs="仿宋"/>
          <w:b w:val="0"/>
          <w:bCs/>
          <w:color w:val="auto"/>
          <w:sz w:val="32"/>
          <w:szCs w:val="32"/>
          <w:highlight w:val="none"/>
          <w:lang w:val="en-US" w:eastAsia="zh-CN"/>
        </w:rPr>
        <w:t>。主要用于单位车辆加油、维修及购买车辆保险</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因公出国（境）费支出；公务用车购置及运行维护费支出2.40万元，占100.00%，比上年增加0.00万元，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“三公”经费支出2.40万元主要是</w:t>
      </w:r>
      <w:r>
        <w:rPr>
          <w:rFonts w:hint="eastAsia" w:ascii="仿宋" w:hAnsi="仿宋" w:eastAsia="仿宋" w:cs="仿宋"/>
          <w:b w:val="0"/>
          <w:bCs/>
          <w:color w:val="auto"/>
          <w:sz w:val="32"/>
          <w:szCs w:val="32"/>
          <w:highlight w:val="none"/>
          <w:lang w:val="en-US" w:eastAsia="zh-CN"/>
        </w:rPr>
        <w:t>公务用车运行维护费。主要用于单位车辆加油、维修及购买车辆保险</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ind w:firstLine="640" w:firstLineChars="200"/>
        <w:rPr>
          <w:rFonts w:hint="eastAsia" w:ascii="方正仿宋_GBK" w:hAnsi="方正仿宋_GBK" w:eastAsia="方正仿宋_GBK" w:cs="方正仿宋_GBK"/>
          <w:sz w:val="32"/>
          <w:szCs w:val="32"/>
          <w:lang w:val="en-US" w:eastAsia="zh-CN"/>
        </w:rPr>
      </w:pPr>
      <w:r>
        <w:rPr>
          <w:rFonts w:hint="eastAsia" w:ascii="仿宋_GB2312" w:eastAsia="仿宋_GB2312"/>
          <w:color w:val="auto"/>
          <w:sz w:val="32"/>
          <w:szCs w:val="32"/>
          <w:highlight w:val="none"/>
          <w:lang w:val="zh-CN" w:eastAsia="zh-CN"/>
        </w:rPr>
        <w:t>公务用车购置及运行维护费2.40万元，其中：公务用车购置费0.00万元，公务用车运行维护费2.40万元。公务用车运行维护费开支内容包括</w:t>
      </w:r>
      <w:r>
        <w:rPr>
          <w:rFonts w:hint="eastAsia" w:ascii="仿宋" w:hAnsi="仿宋" w:eastAsia="仿宋" w:cs="仿宋"/>
          <w:b w:val="0"/>
          <w:bCs/>
          <w:color w:val="auto"/>
          <w:sz w:val="32"/>
          <w:szCs w:val="32"/>
          <w:highlight w:val="none"/>
          <w:lang w:val="en-US" w:eastAsia="zh-CN"/>
        </w:rPr>
        <w:t>车辆加油、维修及购买车辆保险</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华文仿宋" w:hAnsi="华文仿宋" w:eastAsia="华文仿宋" w:cs="华文仿宋"/>
          <w:sz w:val="32"/>
          <w:szCs w:val="32"/>
          <w:lang w:val="en-US" w:eastAsia="zh-CN"/>
        </w:rPr>
        <w:t>库尔勒市供销合作联合社公务车辆在用1辆。在用车辆型号桑塔纳，车辆类型轿车，车牌号新M67615。此车是2010年9月21日库尔勒市供销合作联合社由库尔勒中心供销社转入，车款未支付。2014年库尔勒市供销合作社联合社由企业改制进入全预算拨款的事业单位。此车款一直未支付。故</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方正仿宋_GBK" w:hAnsi="方正仿宋_GBK" w:eastAsia="方正仿宋_GBK" w:cs="方正仿宋_GBK"/>
          <w:sz w:val="32"/>
          <w:szCs w:val="32"/>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预算数2.40万元，决算数2.40万元，预决算差异率0.00%，主要原因是：预决算一致无差异。主要是</w:t>
      </w:r>
      <w:r>
        <w:rPr>
          <w:rFonts w:hint="eastAsia" w:ascii="仿宋" w:hAnsi="仿宋" w:eastAsia="仿宋" w:cs="仿宋"/>
          <w:b w:val="0"/>
          <w:bCs/>
          <w:color w:val="auto"/>
          <w:sz w:val="32"/>
          <w:szCs w:val="32"/>
          <w:highlight w:val="none"/>
          <w:lang w:val="en-US" w:eastAsia="zh-CN"/>
        </w:rPr>
        <w:t>公务用车运行维护费：车辆加油、维修及购买车辆保险无差异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单位全年安排的因公出国（境）团组0个，因公出国（境）0人次；公务用车购置费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2023年未</w:t>
      </w:r>
      <w:r>
        <w:rPr>
          <w:rFonts w:hint="eastAsia" w:ascii="仿宋_GB2312" w:eastAsia="仿宋_GB2312"/>
          <w:color w:val="auto"/>
          <w:sz w:val="32"/>
          <w:szCs w:val="32"/>
          <w:highlight w:val="none"/>
          <w:lang w:val="zh-CN" w:eastAsia="zh-CN"/>
        </w:rPr>
        <w:t>购置公务用车。公务用车运行费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预算数2.40万元，决算数2.40万元，预决算差异率0.00%，主要原因是：用于</w:t>
      </w:r>
      <w:r>
        <w:rPr>
          <w:rFonts w:hint="eastAsia" w:ascii="仿宋" w:hAnsi="仿宋" w:eastAsia="仿宋" w:cs="仿宋"/>
          <w:b w:val="0"/>
          <w:bCs/>
          <w:color w:val="auto"/>
          <w:sz w:val="32"/>
          <w:szCs w:val="32"/>
          <w:highlight w:val="none"/>
          <w:lang w:val="en-US" w:eastAsia="zh-CN"/>
        </w:rPr>
        <w:t>车辆加油、维修及购买车辆保险无差异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我部门本年度无政府性基金预算财政拨款收入、支出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我部门本年度无国有资本经营预算财政拨款收入、支出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库尔勒市供销合作社联合社（事业单位）公用经费支出12.41万元，</w:t>
      </w:r>
      <w:r>
        <w:rPr>
          <w:rFonts w:hint="eastAsia" w:ascii="Times New Roman" w:hAnsi="Times New Roman" w:eastAsia="仿宋_GB2312" w:cs="Times New Roman"/>
          <w:color w:val="auto"/>
          <w:sz w:val="32"/>
          <w:szCs w:val="32"/>
          <w:highlight w:val="none"/>
          <w:lang w:val="zh-CN" w:eastAsia="zh-CN"/>
        </w:rPr>
        <w:t>比上年增加4.59万元，增长58.</w:t>
      </w:r>
      <w:r>
        <w:rPr>
          <w:rFonts w:hint="eastAsia" w:eastAsia="仿宋_GB2312" w:cs="Times New Roman"/>
          <w:color w:val="auto"/>
          <w:sz w:val="32"/>
          <w:szCs w:val="32"/>
          <w:highlight w:val="none"/>
          <w:lang w:val="en-US" w:eastAsia="zh-CN"/>
        </w:rPr>
        <w:t>70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2023年办公费支出增加6.4万元、商品服务支出减少1.81万元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5.99万元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其中：政府采购货物支出0.00万元、政府采购工程支出4.50万元、政府采购服务支出1.49万元。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授予中小企业合同金额1.86万元，占政府采购支出总额的31.0</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，其中：授予小微企业合同金额1.86万元，占政府采购支出总额的31.0</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31.89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屋120.0平方米，价值23.52万元。车辆0辆，价值0.00万元，其中：副部（省）级及以上领导用车0辆、主要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用车0辆、其他用车0辆，其他用车主要是：其他用车0辆；单价100万元（含）以上设备（不含车辆）0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根据预算绩效管理要求，我部门2023年度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预算总额374.13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实际执行总额374.13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Style w:val="12"/>
          <w:rFonts w:hint="eastAsia" w:ascii="仿宋_GB2312" w:hAnsi="仿宋" w:eastAsia="仿宋_GB2312"/>
          <w:b w:val="0"/>
          <w:spacing w:val="-4"/>
          <w:sz w:val="32"/>
          <w:szCs w:val="32"/>
          <w:highlight w:val="none"/>
        </w:rPr>
        <w:t>确保节日市场肉品供应，满足各族群众消费需求</w:t>
      </w:r>
      <w:r>
        <w:rPr>
          <w:rFonts w:hint="eastAsia" w:ascii="仿宋_GB2312" w:eastAsia="仿宋_GB2312"/>
          <w:color w:val="auto"/>
          <w:sz w:val="32"/>
          <w:szCs w:val="32"/>
          <w:highlight w:val="none"/>
          <w:lang w:eastAsia="zh-CN"/>
        </w:rPr>
        <w:t>；二是</w:t>
      </w:r>
      <w:r>
        <w:rPr>
          <w:rStyle w:val="12"/>
          <w:rFonts w:hint="eastAsia" w:ascii="仿宋_GB2312" w:hAnsi="仿宋" w:eastAsia="仿宋_GB2312"/>
          <w:b w:val="0"/>
          <w:spacing w:val="-4"/>
          <w:sz w:val="32"/>
          <w:szCs w:val="32"/>
          <w:highlight w:val="none"/>
        </w:rPr>
        <w:t>发挥渠道优势避免出现价格波动，保障供应、让利于民</w:t>
      </w:r>
      <w:r>
        <w:rPr>
          <w:rFonts w:hint="eastAsia" w:ascii="仿宋_GB2312" w:eastAsia="仿宋_GB2312"/>
          <w:color w:val="auto"/>
          <w:sz w:val="32"/>
          <w:szCs w:val="32"/>
          <w:highlight w:val="none"/>
          <w:lang w:eastAsia="zh-CN"/>
        </w:rPr>
        <w:t>。发现的问题及原因：一是</w:t>
      </w:r>
      <w:r>
        <w:rPr>
          <w:rFonts w:ascii="仿宋_GB2312" w:eastAsia="仿宋_GB2312"/>
          <w:spacing w:val="-4"/>
          <w:sz w:val="32"/>
          <w:szCs w:val="32"/>
        </w:rPr>
        <w:t>自评价中发现预算绩效管理水平仍有欠缺，存在“重投入轻管理、重支出轻绩效”的情况，</w:t>
      </w:r>
      <w:r>
        <w:rPr>
          <w:rFonts w:hint="eastAsia" w:ascii="仿宋_GB2312" w:eastAsia="仿宋_GB2312"/>
          <w:color w:val="auto"/>
          <w:sz w:val="32"/>
          <w:szCs w:val="32"/>
          <w:highlight w:val="none"/>
          <w:lang w:eastAsia="zh-CN"/>
        </w:rPr>
        <w:t>；二是</w:t>
      </w:r>
      <w:r>
        <w:rPr>
          <w:rFonts w:ascii="仿宋_GB2312" w:eastAsia="仿宋_GB2312"/>
          <w:spacing w:val="-4"/>
          <w:sz w:val="32"/>
          <w:szCs w:val="32"/>
        </w:rPr>
        <w:t>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。下一步改进措施：一是</w:t>
      </w:r>
      <w:r>
        <w:rPr>
          <w:rFonts w:ascii="仿宋_GB2312" w:eastAsia="仿宋_GB2312"/>
          <w:spacing w:val="-4"/>
          <w:sz w:val="32"/>
          <w:szCs w:val="32"/>
        </w:rPr>
        <w:t>进一步明确如何参照考核体系，科学合理设定绩效目标，充分发挥预算绩效管理工作效用</w:t>
      </w:r>
      <w:r>
        <w:rPr>
          <w:rFonts w:hint="eastAsia" w:ascii="仿宋_GB2312" w:eastAsia="仿宋_GB2312"/>
          <w:color w:val="auto"/>
          <w:sz w:val="32"/>
          <w:szCs w:val="32"/>
          <w:highlight w:val="none"/>
          <w:lang w:eastAsia="zh-CN"/>
        </w:rPr>
        <w:t>；二是</w:t>
      </w:r>
      <w:r>
        <w:rPr>
          <w:rFonts w:ascii="仿宋_GB2312" w:eastAsia="仿宋_GB2312"/>
          <w:spacing w:val="-4"/>
          <w:sz w:val="32"/>
          <w:szCs w:val="32"/>
        </w:rPr>
        <w:t>加强与财政部门的紧密配合,开展好项目资金绩效管理工作,运用好绩效评价的结果,不断提升预算管理水平</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2"/>
      </w:pPr>
      <w:r>
        <w:br w:type="page"/>
      </w:r>
    </w:p>
    <w:p>
      <w:pPr>
        <w:pStyle w:val="2"/>
        <w:spacing w:line="240" w:lineRule="auto"/>
      </w:pPr>
      <w:r>
        <w:drawing>
          <wp:inline distT="0" distB="0" distL="114300" distR="114300">
            <wp:extent cx="6079490" cy="8646795"/>
            <wp:effectExtent l="0" t="0" r="16510" b="1905"/>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5"/>
                    <a:stretch>
                      <a:fillRect/>
                    </a:stretch>
                  </pic:blipFill>
                  <pic:spPr>
                    <a:xfrm>
                      <a:off x="0" y="0"/>
                      <a:ext cx="6079490" cy="8646795"/>
                    </a:xfrm>
                    <a:prstGeom prst="rect">
                      <a:avLst/>
                    </a:prstGeom>
                  </pic:spPr>
                </pic:pic>
              </a:graphicData>
            </a:graphic>
          </wp:inline>
        </w:drawing>
      </w:r>
    </w:p>
    <w:p>
      <w:pPr>
        <w:pStyle w:val="2"/>
        <w:sectPr>
          <w:pgSz w:w="11906" w:h="16838"/>
          <w:pgMar w:top="1440" w:right="1800" w:bottom="1440" w:left="1800" w:header="851" w:footer="992" w:gutter="0"/>
          <w:cols w:space="720" w:num="1"/>
          <w:docGrid w:type="lines" w:linePitch="312" w:charSpace="0"/>
        </w:sectPr>
      </w:pPr>
    </w:p>
    <w:p>
      <w:pPr>
        <w:rPr>
          <w:rFonts w:hint="eastAsia"/>
          <w:lang w:eastAsia="zh-CN"/>
        </w:rPr>
      </w:pPr>
      <w:r>
        <w:rPr>
          <w:rFonts w:hint="eastAsia"/>
          <w:lang w:eastAsia="zh-CN"/>
        </w:rPr>
        <w:drawing>
          <wp:inline distT="0" distB="0" distL="114300" distR="114300">
            <wp:extent cx="8677275" cy="5486400"/>
            <wp:effectExtent l="0" t="0" r="9525" b="0"/>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6"/>
                    <a:stretch>
                      <a:fillRect/>
                    </a:stretch>
                  </pic:blipFill>
                  <pic:spPr>
                    <a:xfrm>
                      <a:off x="0" y="0"/>
                      <a:ext cx="8677275" cy="5486400"/>
                    </a:xfrm>
                    <a:prstGeom prst="rect">
                      <a:avLst/>
                    </a:prstGeom>
                  </pic:spPr>
                </pic:pic>
              </a:graphicData>
            </a:graphic>
          </wp:inline>
        </w:drawing>
      </w:r>
    </w:p>
    <w:p>
      <w:pPr>
        <w:rPr>
          <w:rFonts w:hint="eastAsia"/>
          <w:lang w:eastAsia="zh-CN"/>
        </w:rPr>
      </w:pPr>
      <w:r>
        <w:rPr>
          <w:rFonts w:hint="eastAsia"/>
          <w:lang w:eastAsia="zh-CN"/>
        </w:rPr>
        <w:drawing>
          <wp:inline distT="0" distB="0" distL="114300" distR="114300">
            <wp:extent cx="9057640" cy="5399405"/>
            <wp:effectExtent l="0" t="0" r="10160" b="10795"/>
            <wp:docPr id="6" name="图片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1"/>
                    </pic:cNvPicPr>
                  </pic:nvPicPr>
                  <pic:blipFill>
                    <a:blip r:embed="rId7"/>
                    <a:stretch>
                      <a:fillRect/>
                    </a:stretch>
                  </pic:blipFill>
                  <pic:spPr>
                    <a:xfrm>
                      <a:off x="0" y="0"/>
                      <a:ext cx="9057640" cy="5399405"/>
                    </a:xfrm>
                    <a:prstGeom prst="rect">
                      <a:avLst/>
                    </a:prstGeom>
                  </pic:spPr>
                </pic:pic>
              </a:graphicData>
            </a:graphic>
          </wp:inline>
        </w:drawing>
      </w:r>
    </w:p>
    <w:p>
      <w:pPr>
        <w:rPr>
          <w:rFonts w:hint="eastAsia"/>
          <w:lang w:eastAsia="zh-CN"/>
        </w:rPr>
      </w:pPr>
      <w:r>
        <w:rPr>
          <w:rFonts w:hint="eastAsia"/>
          <w:lang w:eastAsia="zh-CN"/>
        </w:rPr>
        <w:drawing>
          <wp:inline distT="0" distB="0" distL="114300" distR="114300">
            <wp:extent cx="8905875" cy="5419725"/>
            <wp:effectExtent l="0" t="0" r="9525" b="9525"/>
            <wp:docPr id="7" name="图片 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pic:cNvPicPr>
                  </pic:nvPicPr>
                  <pic:blipFill>
                    <a:blip r:embed="rId8"/>
                    <a:stretch>
                      <a:fillRect/>
                    </a:stretch>
                  </pic:blipFill>
                  <pic:spPr>
                    <a:xfrm>
                      <a:off x="0" y="0"/>
                      <a:ext cx="8905875" cy="5419725"/>
                    </a:xfrm>
                    <a:prstGeom prst="rect">
                      <a:avLst/>
                    </a:prstGeom>
                  </pic:spPr>
                </pic:pic>
              </a:graphicData>
            </a:graphic>
          </wp:inline>
        </w:drawing>
      </w:r>
    </w:p>
    <w:p>
      <w:pPr>
        <w:rPr>
          <w:rFonts w:hint="eastAsia"/>
          <w:lang w:eastAsia="zh-CN"/>
        </w:rPr>
      </w:pPr>
      <w:r>
        <w:rPr>
          <w:rFonts w:hint="eastAsia"/>
          <w:lang w:eastAsia="zh-CN"/>
        </w:rPr>
        <w:drawing>
          <wp:inline distT="0" distB="0" distL="114300" distR="114300">
            <wp:extent cx="8952230" cy="5652770"/>
            <wp:effectExtent l="0" t="0" r="1270" b="5080"/>
            <wp:docPr id="8" name="图片 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
                    <pic:cNvPicPr>
                      <a:picLocks noChangeAspect="1"/>
                    </pic:cNvPicPr>
                  </pic:nvPicPr>
                  <pic:blipFill>
                    <a:blip r:embed="rId9"/>
                    <a:stretch>
                      <a:fillRect/>
                    </a:stretch>
                  </pic:blipFill>
                  <pic:spPr>
                    <a:xfrm>
                      <a:off x="0" y="0"/>
                      <a:ext cx="8952230" cy="5652770"/>
                    </a:xfrm>
                    <a:prstGeom prst="rect">
                      <a:avLst/>
                    </a:prstGeom>
                  </pic:spPr>
                </pic:pic>
              </a:graphicData>
            </a:graphic>
          </wp:inline>
        </w:drawing>
      </w:r>
    </w:p>
    <w:p>
      <w:pPr>
        <w:rPr>
          <w:rFonts w:hint="eastAsia"/>
          <w:lang w:eastAsia="zh-CN"/>
        </w:rPr>
      </w:pPr>
      <w:r>
        <w:rPr>
          <w:rFonts w:hint="eastAsia"/>
          <w:lang w:eastAsia="zh-CN"/>
        </w:rPr>
        <w:drawing>
          <wp:inline distT="0" distB="0" distL="114300" distR="114300">
            <wp:extent cx="8591550" cy="5725795"/>
            <wp:effectExtent l="0" t="0" r="0" b="8255"/>
            <wp:docPr id="9" name="图片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
                    <pic:cNvPicPr>
                      <a:picLocks noChangeAspect="1"/>
                    </pic:cNvPicPr>
                  </pic:nvPicPr>
                  <pic:blipFill>
                    <a:blip r:embed="rId10"/>
                    <a:stretch>
                      <a:fillRect/>
                    </a:stretch>
                  </pic:blipFill>
                  <pic:spPr>
                    <a:xfrm>
                      <a:off x="0" y="0"/>
                      <a:ext cx="8591550" cy="5725795"/>
                    </a:xfrm>
                    <a:prstGeom prst="rect">
                      <a:avLst/>
                    </a:prstGeom>
                  </pic:spPr>
                </pic:pic>
              </a:graphicData>
            </a:graphic>
          </wp:inline>
        </w:drawing>
      </w:r>
    </w:p>
    <w:p>
      <w:pPr>
        <w:rPr>
          <w:rFonts w:hint="eastAsia" w:eastAsia="宋体"/>
          <w:lang w:eastAsia="zh-CN"/>
        </w:rPr>
      </w:pPr>
      <w:r>
        <w:rPr>
          <w:rFonts w:hint="eastAsia" w:eastAsia="宋体"/>
          <w:lang w:eastAsia="zh-CN"/>
        </w:rPr>
        <w:drawing>
          <wp:inline distT="0" distB="0" distL="114300" distR="114300">
            <wp:extent cx="8924925" cy="4991735"/>
            <wp:effectExtent l="0" t="0" r="9525" b="18415"/>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
                    <pic:cNvPicPr>
                      <a:picLocks noChangeAspect="1"/>
                    </pic:cNvPicPr>
                  </pic:nvPicPr>
                  <pic:blipFill>
                    <a:blip r:embed="rId11"/>
                    <a:stretch>
                      <a:fillRect/>
                    </a:stretch>
                  </pic:blipFill>
                  <pic:spPr>
                    <a:xfrm>
                      <a:off x="0" y="0"/>
                      <a:ext cx="8924925" cy="4991735"/>
                    </a:xfrm>
                    <a:prstGeom prst="rect">
                      <a:avLst/>
                    </a:prstGeom>
                  </pic:spPr>
                </pic:pic>
              </a:graphicData>
            </a:graphic>
          </wp:inline>
        </w:drawing>
      </w:r>
    </w:p>
    <w:p>
      <w:pPr>
        <w:pStyle w:val="2"/>
        <w:spacing w:line="240" w:lineRule="auto"/>
        <w:rPr>
          <w:rFonts w:hint="eastAsia"/>
          <w:lang w:eastAsia="zh-CN"/>
        </w:rPr>
      </w:pPr>
      <w:r>
        <w:rPr>
          <w:rFonts w:hint="eastAsia"/>
          <w:lang w:eastAsia="zh-CN"/>
        </w:rPr>
        <w:drawing>
          <wp:inline distT="0" distB="0" distL="114300" distR="114300">
            <wp:extent cx="8667750" cy="3105150"/>
            <wp:effectExtent l="0" t="0" r="0" b="0"/>
            <wp:docPr id="12" name="图片 12"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8"/>
                    <pic:cNvPicPr>
                      <a:picLocks noChangeAspect="1"/>
                    </pic:cNvPicPr>
                  </pic:nvPicPr>
                  <pic:blipFill>
                    <a:blip r:embed="rId12"/>
                    <a:stretch>
                      <a:fillRect/>
                    </a:stretch>
                  </pic:blipFill>
                  <pic:spPr>
                    <a:xfrm>
                      <a:off x="0" y="0"/>
                      <a:ext cx="8667750" cy="3105150"/>
                    </a:xfrm>
                    <a:prstGeom prst="rect">
                      <a:avLst/>
                    </a:prstGeom>
                  </pic:spPr>
                </pic:pic>
              </a:graphicData>
            </a:graphic>
          </wp:inline>
        </w:drawing>
      </w:r>
    </w:p>
    <w:p/>
    <w:p/>
    <w:p/>
    <w:p>
      <w:pPr>
        <w:jc w:val="left"/>
      </w:pPr>
    </w:p>
    <w:p>
      <w:pPr>
        <w:pStyle w:val="2"/>
      </w:pPr>
    </w:p>
    <w:p>
      <w:pPr>
        <w:rPr>
          <w:rFonts w:hint="eastAsia"/>
          <w:lang w:val="en-US" w:eastAsia="zh-CN"/>
        </w:rPr>
      </w:pPr>
      <w:r>
        <w:rPr>
          <w:rFonts w:hint="eastAsia"/>
          <w:lang w:val="en-US" w:eastAsia="zh-CN"/>
        </w:rPr>
        <w:drawing>
          <wp:inline distT="0" distB="0" distL="114300" distR="114300">
            <wp:extent cx="8514715" cy="3361055"/>
            <wp:effectExtent l="0" t="0" r="635" b="10795"/>
            <wp:docPr id="13" name="图片 13"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9"/>
                    <pic:cNvPicPr>
                      <a:picLocks noChangeAspect="1"/>
                    </pic:cNvPicPr>
                  </pic:nvPicPr>
                  <pic:blipFill>
                    <a:blip r:embed="rId13"/>
                    <a:stretch>
                      <a:fillRect/>
                    </a:stretch>
                  </pic:blipFill>
                  <pic:spPr>
                    <a:xfrm>
                      <a:off x="0" y="0"/>
                      <a:ext cx="8514715" cy="3361055"/>
                    </a:xfrm>
                    <a:prstGeom prst="rect">
                      <a:avLst/>
                    </a:prstGeom>
                  </pic:spPr>
                </pic:pic>
              </a:graphicData>
            </a:graphic>
          </wp:inline>
        </w:drawing>
      </w:r>
      <w:bookmarkStart w:id="48" w:name="_GoBack"/>
      <w:bookmarkEnd w:id="48"/>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73C0617"/>
    <w:multiLevelType w:val="singleLevel"/>
    <w:tmpl w:val="673C061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F46A8B"/>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523CD0"/>
    <w:rsid w:val="1E62130A"/>
    <w:rsid w:val="1E97358B"/>
    <w:rsid w:val="1EAA4A5F"/>
    <w:rsid w:val="1EE869A7"/>
    <w:rsid w:val="1FA15E62"/>
    <w:rsid w:val="1FED69B6"/>
    <w:rsid w:val="2064678E"/>
    <w:rsid w:val="20DC1AB9"/>
    <w:rsid w:val="20DD6197"/>
    <w:rsid w:val="212631E0"/>
    <w:rsid w:val="21A53757"/>
    <w:rsid w:val="221236C6"/>
    <w:rsid w:val="22D64335"/>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2301DB"/>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9151D0"/>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93601F"/>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585DF4"/>
    <w:rsid w:val="5BD456CE"/>
    <w:rsid w:val="5C0D1F49"/>
    <w:rsid w:val="5CAD1CB1"/>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4841BC"/>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6A46A2"/>
    <w:rsid w:val="75722D56"/>
    <w:rsid w:val="75DB5477"/>
    <w:rsid w:val="75FC6AC3"/>
    <w:rsid w:val="7616619B"/>
    <w:rsid w:val="762F30D9"/>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560" w:lineRule="exact"/>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5</TotalTime>
  <ScaleCrop>false</ScaleCrop>
  <LinksUpToDate>false</LinksUpToDate>
  <CharactersWithSpaces>20937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dell</cp:lastModifiedBy>
  <dcterms:modified xsi:type="dcterms:W3CDTF">2024-12-01T14:25:09Z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D624B15633CD43C8BF9435464A96BF70</vt:lpwstr>
  </property>
</Properties>
</file>