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库尔勒市人民代表大会常务委员会</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 xml:space="preserve">第一部分 </w:t>
      </w:r>
      <w:r>
        <w:rPr>
          <w:rFonts w:hint="eastAsia" w:ascii="仿宋_GB2312" w:hAnsi="仿宋_GB2312" w:eastAsia="仿宋_GB2312" w:cs="仿宋_GB2312"/>
          <w:b/>
          <w:bCs/>
          <w:sz w:val="32"/>
          <w:szCs w:val="32"/>
          <w:lang w:val="en-US" w:eastAsia="zh-CN"/>
        </w:rPr>
        <w:t>部门</w:t>
      </w:r>
      <w:r>
        <w:rPr>
          <w:rFonts w:hint="eastAsia" w:ascii="仿宋_GB2312" w:hAnsi="仿宋_GB2312" w:eastAsia="仿宋_GB2312" w:cs="仿宋_GB2312"/>
          <w:b/>
          <w:bCs/>
          <w:sz w:val="32"/>
          <w:szCs w:val="32"/>
        </w:rPr>
        <w:t>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w:t>
      </w:r>
      <w:r>
        <w:rPr>
          <w:rFonts w:hint="eastAsia" w:ascii="黑体" w:hAnsi="黑体" w:eastAsia="黑体"/>
          <w:sz w:val="32"/>
          <w:szCs w:val="32"/>
          <w:lang w:val="en-US" w:eastAsia="zh-CN"/>
        </w:rPr>
        <w:t>部门</w:t>
      </w:r>
      <w:r>
        <w:rPr>
          <w:rFonts w:hint="eastAsia" w:ascii="黑体" w:hAnsi="黑体" w:eastAsia="黑体"/>
          <w:sz w:val="32"/>
          <w:szCs w:val="32"/>
        </w:rPr>
        <w:t>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outlineLvl w:val="1"/>
        <w:rPr>
          <w:rFonts w:hint="eastAsia" w:ascii="仿宋_GB2312" w:eastAsia="仿宋_GB2312"/>
          <w:sz w:val="32"/>
          <w:szCs w:val="32"/>
          <w:lang w:eastAsia="zh-CN"/>
        </w:rPr>
      </w:pPr>
      <w:bookmarkStart w:id="4" w:name="_Toc31238"/>
      <w:bookmarkStart w:id="5" w:name="_Toc2151"/>
      <w:r>
        <w:rPr>
          <w:rFonts w:hint="eastAsia" w:ascii="仿宋_GB2312" w:eastAsia="仿宋_GB2312"/>
          <w:sz w:val="32"/>
          <w:szCs w:val="32"/>
        </w:rPr>
        <w:t>讨论、决定本行政区域内的重大事项；监督本级“一府两院”的工作；撤销下一级人民代表大会不适当的决议；依照法律规定的权限决定国家机关工作人员的任免；在本级人民代表大会闭会期同，罢免和补选上一级人民代表大会的个别代表</w:t>
      </w:r>
      <w:r>
        <w:rPr>
          <w:rFonts w:hint="eastAsia" w:ascii="仿宋_GB2312" w:eastAsia="仿宋_GB2312"/>
          <w:sz w:val="32"/>
          <w:szCs w:val="32"/>
          <w:lang w:eastAsia="zh-CN"/>
        </w:rPr>
        <w:t>。</w:t>
      </w:r>
    </w:p>
    <w:p>
      <w:pPr>
        <w:ind w:firstLine="640" w:firstLineChars="200"/>
        <w:outlineLvl w:val="1"/>
        <w:rPr>
          <w:rFonts w:ascii="仿宋_GB2312" w:eastAsia="仿宋_GB2312"/>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hAnsi="仿宋_GB2312" w:eastAsia="仿宋_GB2312" w:cs="仿宋_GB2312"/>
          <w:b/>
          <w:sz w:val="32"/>
          <w:szCs w:val="32"/>
        </w:rPr>
      </w:pPr>
      <w:r>
        <w:rPr>
          <w:rFonts w:hint="eastAsia" w:ascii="仿宋_GB2312" w:eastAsia="仿宋_GB2312"/>
          <w:sz w:val="32"/>
          <w:szCs w:val="32"/>
        </w:rPr>
        <w:t>库尔勒市人民代表大会常务委员会2023年度，实有人数</w:t>
      </w:r>
      <w:r>
        <w:rPr>
          <w:rFonts w:hint="eastAsia" w:ascii="仿宋_GB2312" w:eastAsia="仿宋_GB2312"/>
          <w:sz w:val="32"/>
          <w:szCs w:val="32"/>
          <w:lang w:val="zh-CN"/>
        </w:rPr>
        <w:t>56</w:t>
      </w:r>
      <w:r>
        <w:rPr>
          <w:rFonts w:hint="eastAsia" w:ascii="仿宋_GB2312" w:eastAsia="仿宋_GB2312"/>
          <w:sz w:val="32"/>
          <w:szCs w:val="32"/>
        </w:rPr>
        <w:t>人，其中：在职人员</w:t>
      </w:r>
      <w:r>
        <w:rPr>
          <w:rFonts w:hint="eastAsia" w:ascii="仿宋_GB2312" w:eastAsia="仿宋_GB2312"/>
          <w:sz w:val="32"/>
          <w:szCs w:val="32"/>
          <w:lang w:val="zh-CN"/>
        </w:rPr>
        <w:t>24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32</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w:t>
      </w:r>
      <w:r>
        <w:rPr>
          <w:rFonts w:hint="eastAsia" w:ascii="仿宋_GB2312" w:hAnsi="宋体" w:eastAsia="仿宋_GB2312" w:cs="宋体"/>
          <w:kern w:val="0"/>
          <w:sz w:val="32"/>
          <w:szCs w:val="32"/>
        </w:rPr>
        <w:t>下设5个处室，分别是：市人大常委会办公室、市人大财政经济委员 会、市人大常委会代</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t>表人事任免工作委员会、市人大教育科学文化卫生委员会、市人大常委会法制工作委员会。</w:t>
      </w:r>
    </w:p>
    <w:p>
      <w:pPr>
        <w:ind w:firstLine="640" w:firstLineChars="200"/>
        <w:rPr>
          <w:rFonts w:ascii="仿宋_GB2312" w:hAnsi="宋体" w:eastAsia="仿宋_GB2312" w:cs="宋体"/>
          <w:kern w:val="0"/>
          <w:sz w:val="32"/>
          <w:szCs w:val="32"/>
        </w:rPr>
      </w:pP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2023年度收入总计568.82万元，其中：本年收入合计568.82万元，使用非财政拨款结余0.00万元，年初结转和结余0.00万元。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2023年度支出总计568.82万元，其中：本年支出合计568.82万元，结余分配0.00万元，年末结转和结余0.00万元。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增加83.71万元</w:t>
      </w:r>
      <w:r>
        <w:rPr>
          <w:rFonts w:hint="eastAsia" w:ascii="仿宋_GB2312" w:eastAsia="仿宋_GB2312"/>
          <w:sz w:val="32"/>
          <w:szCs w:val="32"/>
        </w:rPr>
        <w:t>，增长17.26%，主要原因是：2</w:t>
      </w:r>
      <w:r>
        <w:rPr>
          <w:rFonts w:ascii="仿宋_GB2312" w:eastAsia="仿宋_GB2312"/>
          <w:sz w:val="32"/>
          <w:szCs w:val="32"/>
        </w:rPr>
        <w:t>023</w:t>
      </w:r>
      <w:r>
        <w:rPr>
          <w:rFonts w:hint="eastAsia" w:ascii="仿宋_GB2312" w:eastAsia="仿宋_GB2312"/>
          <w:sz w:val="32"/>
          <w:szCs w:val="32"/>
        </w:rPr>
        <w:t>年度单位人员增加，</w:t>
      </w:r>
      <w:r>
        <w:rPr>
          <w:rFonts w:hint="eastAsia" w:ascii="仿宋_GB2312" w:eastAsia="仿宋_GB2312"/>
          <w:sz w:val="32"/>
          <w:szCs w:val="32"/>
          <w:lang w:val="en-US" w:eastAsia="zh-CN"/>
        </w:rPr>
        <w:t>相应</w:t>
      </w:r>
      <w:r>
        <w:rPr>
          <w:rFonts w:hint="eastAsia" w:ascii="仿宋_GB2312" w:eastAsia="仿宋_GB2312"/>
          <w:sz w:val="32"/>
          <w:szCs w:val="32"/>
        </w:rPr>
        <w:t>财政拨款收入增加。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本年收入568.82万元，其中：财政拨款收入</w:t>
      </w:r>
      <w:r>
        <w:rPr>
          <w:rFonts w:hint="eastAsia" w:ascii="仿宋_GB2312" w:eastAsia="仿宋_GB2312"/>
          <w:sz w:val="32"/>
          <w:szCs w:val="32"/>
          <w:lang w:val="zh-CN"/>
        </w:rPr>
        <w:t>568.82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eastAsia="仿宋_GB2312" w:cs="仿宋_GB2312"/>
          <w:sz w:val="30"/>
          <w:szCs w:val="30"/>
          <w:lang w:val="zh-CN"/>
        </w:rPr>
      </w:pPr>
      <w:r>
        <w:rPr>
          <w:rFonts w:hint="eastAsia" w:eastAsia="仿宋_GB2312" w:cs="仿宋_GB2312"/>
          <w:sz w:val="32"/>
          <w:szCs w:val="32"/>
          <w:lang w:val="zh-CN"/>
        </w:rPr>
        <w:t>本年支出568.82万元，其中：基本支出525.91万元，占92.46%；项目支出42.91万元，占7.54%；上缴上级支出0.00万元，占0.00%；经营支出0.00万元，占0.00%；对附属单位补助支出0.00万元，占0.00%。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568.82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568.82</w:t>
      </w:r>
      <w:r>
        <w:rPr>
          <w:rFonts w:hint="eastAsia" w:ascii="仿宋_GB2312" w:eastAsia="仿宋_GB2312"/>
          <w:sz w:val="32"/>
          <w:szCs w:val="32"/>
        </w:rPr>
        <w:t>万元。财政拨款支出总计</w:t>
      </w:r>
      <w:r>
        <w:rPr>
          <w:rFonts w:hint="eastAsia" w:ascii="仿宋_GB2312" w:eastAsia="仿宋_GB2312"/>
          <w:sz w:val="32"/>
          <w:szCs w:val="32"/>
          <w:lang w:val="zh-CN"/>
        </w:rPr>
        <w:t>568.82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568.82</w:t>
      </w:r>
      <w:r>
        <w:rPr>
          <w:rFonts w:hint="eastAsia" w:ascii="仿宋_GB2312" w:eastAsia="仿宋_GB2312"/>
          <w:sz w:val="32"/>
          <w:szCs w:val="32"/>
        </w:rPr>
        <w:t>万元。</w:t>
      </w:r>
    </w:p>
    <w:p>
      <w:pPr>
        <w:spacing w:line="560" w:lineRule="exact"/>
        <w:ind w:firstLine="640" w:firstLineChars="200"/>
        <w:rPr>
          <w:rFonts w:eastAsia="方正仿宋_GBK"/>
          <w:sz w:val="31"/>
          <w:szCs w:val="31"/>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增加83.71万元</w:t>
      </w:r>
      <w:r>
        <w:rPr>
          <w:rFonts w:hint="eastAsia" w:ascii="仿宋_GB2312" w:eastAsia="仿宋_GB2312"/>
          <w:sz w:val="32"/>
          <w:szCs w:val="32"/>
        </w:rPr>
        <w:t>，增长17.26%,主要原因是：一是2</w:t>
      </w:r>
      <w:r>
        <w:rPr>
          <w:rFonts w:ascii="仿宋_GB2312" w:eastAsia="仿宋_GB2312"/>
          <w:sz w:val="32"/>
          <w:szCs w:val="32"/>
        </w:rPr>
        <w:t>023</w:t>
      </w:r>
      <w:r>
        <w:rPr>
          <w:rFonts w:hint="eastAsia" w:ascii="仿宋_GB2312" w:eastAsia="仿宋_GB2312"/>
          <w:sz w:val="32"/>
          <w:szCs w:val="32"/>
        </w:rPr>
        <w:t>年度单位工作人员增加1人，财政拨款收入增加，相应支出增加；二是工资正常考核升级、公积金、社保缴费基数变大，财政拨款收入增加，相应支出增加；三是人大换届选举会议经费、人大代表活动经费、会议费和业务费等项目经费拨款增加。与年初预算相比，年初预算数</w:t>
      </w:r>
      <w:r>
        <w:rPr>
          <w:rFonts w:hint="eastAsia" w:ascii="仿宋_GB2312" w:eastAsia="仿宋_GB2312"/>
          <w:sz w:val="32"/>
          <w:szCs w:val="32"/>
          <w:lang w:val="zh-CN"/>
        </w:rPr>
        <w:t>582.16</w:t>
      </w:r>
      <w:r>
        <w:rPr>
          <w:rFonts w:hint="eastAsia" w:ascii="仿宋_GB2312" w:eastAsia="仿宋_GB2312"/>
          <w:sz w:val="32"/>
          <w:szCs w:val="32"/>
        </w:rPr>
        <w:t>万元，决算数</w:t>
      </w:r>
      <w:r>
        <w:rPr>
          <w:rFonts w:hint="eastAsia" w:ascii="仿宋_GB2312" w:eastAsia="仿宋_GB2312"/>
          <w:sz w:val="32"/>
          <w:szCs w:val="32"/>
          <w:lang w:val="zh-CN"/>
        </w:rPr>
        <w:t>568.82</w:t>
      </w:r>
      <w:r>
        <w:rPr>
          <w:rFonts w:hint="eastAsia" w:ascii="仿宋_GB2312" w:eastAsia="仿宋_GB2312"/>
          <w:sz w:val="32"/>
          <w:szCs w:val="32"/>
        </w:rPr>
        <w:t>万元，预决算差异率-2.29%，主要原因是：</w:t>
      </w:r>
      <w:bookmarkStart w:id="16" w:name="_Toc20360"/>
      <w:bookmarkStart w:id="17" w:name="_Toc13833"/>
      <w:r>
        <w:rPr>
          <w:rFonts w:hint="eastAsia" w:ascii="仿宋_GB2312" w:eastAsia="仿宋_GB2312"/>
          <w:sz w:val="32"/>
          <w:szCs w:val="32"/>
        </w:rPr>
        <w:t>厉行节约，精简其他各项办公支出。</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2023年度一般公共预算财政拨款支出568.82万元，占本年支出合计的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增加83.71万元</w:t>
      </w:r>
      <w:r>
        <w:rPr>
          <w:rFonts w:hint="eastAsia" w:ascii="仿宋_GB2312" w:eastAsia="仿宋_GB2312"/>
          <w:sz w:val="32"/>
          <w:szCs w:val="32"/>
        </w:rPr>
        <w:t>，增长17.26%,主要原因是：一是2</w:t>
      </w:r>
      <w:r>
        <w:rPr>
          <w:rFonts w:ascii="仿宋_GB2312" w:eastAsia="仿宋_GB2312"/>
          <w:sz w:val="32"/>
          <w:szCs w:val="32"/>
        </w:rPr>
        <w:t>023</w:t>
      </w:r>
      <w:r>
        <w:rPr>
          <w:rFonts w:hint="eastAsia" w:ascii="仿宋_GB2312" w:eastAsia="仿宋_GB2312"/>
          <w:sz w:val="32"/>
          <w:szCs w:val="32"/>
        </w:rPr>
        <w:t>年度新增一名行政编制工作人员，财政拨款收入增加；二是工资正常考核升级、公积金、社保缴费基数变大，一般公共预算支出增加；三是增加人大代表工作室活动经费、预算联网监督系统服务、十一届四次人代会会议费等项目经费。与年初预算相比，年初预算数</w:t>
      </w:r>
      <w:r>
        <w:rPr>
          <w:rFonts w:hint="eastAsia" w:ascii="仿宋_GB2312" w:eastAsia="仿宋_GB2312"/>
          <w:sz w:val="32"/>
          <w:szCs w:val="32"/>
          <w:lang w:val="zh-CN"/>
        </w:rPr>
        <w:t>582.16</w:t>
      </w:r>
      <w:r>
        <w:rPr>
          <w:rFonts w:hint="eastAsia" w:ascii="仿宋_GB2312" w:eastAsia="仿宋_GB2312"/>
          <w:sz w:val="32"/>
          <w:szCs w:val="32"/>
        </w:rPr>
        <w:t>万元，决算数</w:t>
      </w:r>
      <w:r>
        <w:rPr>
          <w:rFonts w:hint="eastAsia" w:ascii="仿宋_GB2312" w:eastAsia="仿宋_GB2312"/>
          <w:sz w:val="32"/>
          <w:szCs w:val="32"/>
          <w:lang w:val="zh-CN"/>
        </w:rPr>
        <w:t>568.82</w:t>
      </w:r>
      <w:r>
        <w:rPr>
          <w:rFonts w:hint="eastAsia" w:ascii="仿宋_GB2312" w:eastAsia="仿宋_GB2312"/>
          <w:sz w:val="32"/>
          <w:szCs w:val="32"/>
        </w:rPr>
        <w:t>万元，预决算差异率</w:t>
      </w:r>
      <w:r>
        <w:rPr>
          <w:rFonts w:hint="eastAsia" w:ascii="仿宋_GB2312" w:eastAsia="仿宋_GB2312"/>
          <w:sz w:val="32"/>
          <w:szCs w:val="32"/>
          <w:lang w:val="zh-CN"/>
        </w:rPr>
        <w:t>-2.29%</w:t>
      </w:r>
      <w:r>
        <w:rPr>
          <w:rFonts w:hint="eastAsia" w:ascii="仿宋_GB2312" w:eastAsia="仿宋_GB2312"/>
          <w:sz w:val="32"/>
          <w:szCs w:val="32"/>
        </w:rPr>
        <w:t>，主要原因是：厉行节约，精简其他各项办公支出。</w:t>
      </w:r>
    </w:p>
    <w:p>
      <w:pPr>
        <w:ind w:firstLine="640" w:firstLineChars="200"/>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425.40</w:t>
      </w:r>
      <w:r>
        <w:rPr>
          <w:rFonts w:ascii="仿宋_GB2312" w:eastAsia="仿宋_GB2312"/>
          <w:kern w:val="2"/>
          <w:sz w:val="32"/>
          <w:szCs w:val="32"/>
          <w:lang w:val="zh-CN"/>
        </w:rPr>
        <w:t>万元，占</w:t>
      </w:r>
      <w:r>
        <w:rPr>
          <w:rFonts w:hint="eastAsia" w:ascii="仿宋_GB2312" w:eastAsia="仿宋_GB2312"/>
          <w:kern w:val="2"/>
          <w:sz w:val="32"/>
          <w:szCs w:val="32"/>
          <w:lang w:val="zh-CN"/>
        </w:rPr>
        <w:t>74.79</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2.教育支出（类）</w:t>
      </w:r>
      <w:r>
        <w:rPr>
          <w:rFonts w:hint="eastAsia" w:ascii="仿宋_GB2312" w:eastAsia="仿宋_GB2312"/>
          <w:kern w:val="2"/>
          <w:sz w:val="32"/>
          <w:szCs w:val="32"/>
          <w:lang w:val="zh-CN"/>
        </w:rPr>
        <w:t>1.97</w:t>
      </w:r>
      <w:r>
        <w:rPr>
          <w:rFonts w:ascii="仿宋_GB2312" w:eastAsia="仿宋_GB2312"/>
          <w:kern w:val="2"/>
          <w:sz w:val="32"/>
          <w:szCs w:val="32"/>
          <w:lang w:val="zh-CN"/>
        </w:rPr>
        <w:t>万元，占</w:t>
      </w:r>
      <w:r>
        <w:rPr>
          <w:rFonts w:hint="eastAsia" w:ascii="仿宋_GB2312" w:eastAsia="仿宋_GB2312"/>
          <w:kern w:val="2"/>
          <w:sz w:val="32"/>
          <w:szCs w:val="32"/>
          <w:lang w:val="zh-CN"/>
        </w:rPr>
        <w:t>0.3</w:t>
      </w:r>
      <w:r>
        <w:rPr>
          <w:rFonts w:ascii="仿宋_GB2312" w:eastAsia="仿宋_GB2312"/>
          <w:kern w:val="2"/>
          <w:sz w:val="32"/>
          <w:szCs w:val="32"/>
          <w:lang w:val="zh-CN"/>
        </w:rPr>
        <w:t>4%；</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3.社会保障和就业支出（类）</w:t>
      </w:r>
      <w:r>
        <w:rPr>
          <w:rFonts w:hint="eastAsia" w:ascii="仿宋_GB2312" w:eastAsia="仿宋_GB2312"/>
          <w:kern w:val="2"/>
          <w:sz w:val="32"/>
          <w:szCs w:val="32"/>
          <w:lang w:val="zh-CN"/>
        </w:rPr>
        <w:t>74.32</w:t>
      </w:r>
      <w:r>
        <w:rPr>
          <w:rFonts w:ascii="仿宋_GB2312" w:eastAsia="仿宋_GB2312"/>
          <w:kern w:val="2"/>
          <w:sz w:val="32"/>
          <w:szCs w:val="32"/>
          <w:lang w:val="zh-CN"/>
        </w:rPr>
        <w:t>万元，占</w:t>
      </w:r>
      <w:r>
        <w:rPr>
          <w:rFonts w:hint="eastAsia" w:ascii="仿宋_GB2312" w:eastAsia="仿宋_GB2312"/>
          <w:kern w:val="2"/>
          <w:sz w:val="32"/>
          <w:szCs w:val="32"/>
          <w:lang w:val="zh-CN"/>
        </w:rPr>
        <w:t>13.07</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4.卫生健康支出（类）</w:t>
      </w:r>
      <w:r>
        <w:rPr>
          <w:rFonts w:hint="eastAsia" w:ascii="仿宋_GB2312" w:eastAsia="仿宋_GB2312"/>
          <w:kern w:val="2"/>
          <w:sz w:val="32"/>
          <w:szCs w:val="32"/>
          <w:lang w:val="zh-CN"/>
        </w:rPr>
        <w:t>35.70</w:t>
      </w:r>
      <w:r>
        <w:rPr>
          <w:rFonts w:ascii="仿宋_GB2312" w:eastAsia="仿宋_GB2312"/>
          <w:kern w:val="2"/>
          <w:sz w:val="32"/>
          <w:szCs w:val="32"/>
          <w:lang w:val="zh-CN"/>
        </w:rPr>
        <w:t>万元，占</w:t>
      </w:r>
      <w:r>
        <w:rPr>
          <w:rFonts w:hint="eastAsia" w:ascii="仿宋_GB2312" w:eastAsia="仿宋_GB2312"/>
          <w:kern w:val="2"/>
          <w:sz w:val="32"/>
          <w:szCs w:val="32"/>
          <w:lang w:val="zh-CN"/>
        </w:rPr>
        <w:t>6.28</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5.住房保障支出（类）</w:t>
      </w:r>
      <w:r>
        <w:rPr>
          <w:rFonts w:hint="eastAsia" w:ascii="仿宋_GB2312" w:eastAsia="仿宋_GB2312"/>
          <w:kern w:val="2"/>
          <w:sz w:val="32"/>
          <w:szCs w:val="32"/>
          <w:lang w:val="zh-CN"/>
        </w:rPr>
        <w:t>31.43</w:t>
      </w:r>
      <w:r>
        <w:rPr>
          <w:rFonts w:ascii="仿宋_GB2312" w:eastAsia="仿宋_GB2312"/>
          <w:kern w:val="2"/>
          <w:sz w:val="32"/>
          <w:szCs w:val="32"/>
          <w:lang w:val="zh-CN"/>
        </w:rPr>
        <w:t>万元，占</w:t>
      </w:r>
      <w:r>
        <w:rPr>
          <w:rFonts w:hint="eastAsia" w:ascii="仿宋_GB2312" w:eastAsia="仿宋_GB2312"/>
          <w:kern w:val="2"/>
          <w:sz w:val="32"/>
          <w:szCs w:val="32"/>
          <w:lang w:val="zh-CN"/>
        </w:rPr>
        <w:t>5.5</w:t>
      </w:r>
      <w:r>
        <w:rPr>
          <w:rFonts w:ascii="仿宋_GB2312" w:eastAsia="仿宋_GB2312"/>
          <w:kern w:val="2"/>
          <w:sz w:val="32"/>
          <w:szCs w:val="32"/>
          <w:lang w:val="zh-CN"/>
        </w:rPr>
        <w:t>2%；</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eastAsia="仿宋_GB2312"/>
          <w:sz w:val="32"/>
          <w:szCs w:val="32"/>
        </w:rPr>
        <w:t>1</w:t>
      </w:r>
      <w:r>
        <w:rPr>
          <w:rFonts w:hint="eastAsia" w:eastAsia="仿宋_GB2312"/>
          <w:sz w:val="32"/>
          <w:szCs w:val="32"/>
        </w:rPr>
        <w:t>.一般公共服务支出（类）人大事务（款）行政运行（项）:支出决算数为382.49万元，比上年决算增加63.09万元，增长19.75%，主要原因是：</w:t>
      </w:r>
      <w:r>
        <w:rPr>
          <w:rFonts w:hint="eastAsia" w:ascii="仿宋_GB2312" w:eastAsia="仿宋_GB2312"/>
          <w:sz w:val="32"/>
          <w:szCs w:val="32"/>
        </w:rPr>
        <w:t>一是2</w:t>
      </w:r>
      <w:r>
        <w:rPr>
          <w:rFonts w:ascii="仿宋_GB2312" w:eastAsia="仿宋_GB2312"/>
          <w:sz w:val="32"/>
          <w:szCs w:val="32"/>
        </w:rPr>
        <w:t>023</w:t>
      </w:r>
      <w:r>
        <w:rPr>
          <w:rFonts w:hint="eastAsia" w:ascii="仿宋_GB2312" w:eastAsia="仿宋_GB2312"/>
          <w:sz w:val="32"/>
          <w:szCs w:val="32"/>
        </w:rPr>
        <w:t>年度一名工作人员因公受伤，单位赔付工伤抚恤金；二是单位购入2辆红旗轿车。</w:t>
      </w:r>
    </w:p>
    <w:p>
      <w:pPr>
        <w:ind w:firstLine="640" w:firstLineChars="200"/>
        <w:rPr>
          <w:rFonts w:eastAsia="仿宋_GB2312"/>
          <w:sz w:val="32"/>
          <w:szCs w:val="32"/>
          <w:lang w:val="zh-CN"/>
        </w:rPr>
      </w:pPr>
      <w:r>
        <w:rPr>
          <w:rFonts w:eastAsia="仿宋_GB2312"/>
          <w:sz w:val="32"/>
          <w:szCs w:val="32"/>
        </w:rPr>
        <w:t>2</w:t>
      </w:r>
      <w:r>
        <w:rPr>
          <w:rFonts w:hint="eastAsia" w:eastAsia="仿宋_GB2312"/>
          <w:sz w:val="32"/>
          <w:szCs w:val="32"/>
        </w:rPr>
        <w:t>.一般公共服务支出（类）人大事务（款）人大会议（项）:支出决算数为20.00万元，比上年决算增加20.00万元，增长100%，主要原因是：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年度召开人代会，会议费增加。</w:t>
      </w:r>
    </w:p>
    <w:p>
      <w:pPr>
        <w:ind w:firstLine="640" w:firstLineChars="200"/>
        <w:rPr>
          <w:rFonts w:eastAsia="仿宋_GB2312"/>
          <w:sz w:val="32"/>
          <w:szCs w:val="32"/>
          <w:lang w:val="zh-CN"/>
        </w:rPr>
      </w:pPr>
      <w:r>
        <w:rPr>
          <w:rFonts w:eastAsia="仿宋_GB2312"/>
          <w:sz w:val="32"/>
          <w:szCs w:val="32"/>
        </w:rPr>
        <w:t>3</w:t>
      </w:r>
      <w:r>
        <w:rPr>
          <w:rFonts w:hint="eastAsia" w:eastAsia="仿宋_GB2312"/>
          <w:sz w:val="32"/>
          <w:szCs w:val="32"/>
        </w:rPr>
        <w:t>.一般公共服务支出（类）人大事务（款）人大监督（项）:支出决算数为5.00万元，比上年决算减少4.00万元，下降44.44%，主要原因是：单位厉行节约，人大监督项目经费支出减少</w:t>
      </w:r>
      <w:r>
        <w:rPr>
          <w:rFonts w:hint="eastAsia" w:eastAsia="仿宋_GB2312"/>
          <w:sz w:val="32"/>
          <w:szCs w:val="32"/>
          <w:lang w:val="zh-CN"/>
        </w:rPr>
        <w:t>。</w:t>
      </w:r>
    </w:p>
    <w:p>
      <w:pPr>
        <w:ind w:firstLine="640" w:firstLineChars="200"/>
        <w:rPr>
          <w:rFonts w:eastAsia="仿宋_GB2312"/>
          <w:sz w:val="32"/>
          <w:szCs w:val="32"/>
          <w:lang w:val="zh-CN"/>
        </w:rPr>
      </w:pPr>
      <w:r>
        <w:rPr>
          <w:rFonts w:eastAsia="仿宋_GB2312"/>
          <w:sz w:val="32"/>
          <w:szCs w:val="32"/>
        </w:rPr>
        <w:t>4.</w:t>
      </w:r>
      <w:r>
        <w:rPr>
          <w:rFonts w:hint="eastAsia" w:eastAsia="仿宋_GB2312"/>
          <w:sz w:val="32"/>
          <w:szCs w:val="32"/>
        </w:rPr>
        <w:t>一般公共服务支出（类）人大事务（款）代表工作（项）:支出决算数为10.19万元，比上年决算增加5.19万元，增长103.8</w:t>
      </w:r>
      <w:r>
        <w:rPr>
          <w:rFonts w:hint="eastAsia" w:eastAsia="仿宋_GB2312"/>
          <w:sz w:val="32"/>
          <w:szCs w:val="32"/>
          <w:lang w:val="en-US" w:eastAsia="zh-CN"/>
        </w:rPr>
        <w:t>0</w:t>
      </w:r>
      <w:r>
        <w:rPr>
          <w:rFonts w:hint="eastAsia" w:eastAsia="仿宋_GB2312"/>
          <w:sz w:val="32"/>
          <w:szCs w:val="32"/>
        </w:rPr>
        <w:t>%，主要原因是：因上年度疫情影响，多数工作无法顺利开展，本年度大力开展业务工作，</w:t>
      </w:r>
      <w:r>
        <w:rPr>
          <w:rFonts w:hint="eastAsia" w:eastAsia="仿宋_GB2312"/>
          <w:sz w:val="32"/>
          <w:szCs w:val="32"/>
          <w:lang w:val="zh-CN"/>
        </w:rPr>
        <w:t>财政拨款增加，项目经费支出增加。</w:t>
      </w:r>
    </w:p>
    <w:p>
      <w:pPr>
        <w:ind w:firstLine="640" w:firstLineChars="200"/>
        <w:rPr>
          <w:rFonts w:eastAsia="仿宋_GB2312"/>
          <w:sz w:val="32"/>
          <w:szCs w:val="32"/>
        </w:rPr>
      </w:pPr>
      <w:r>
        <w:rPr>
          <w:rFonts w:eastAsia="仿宋_GB2312"/>
          <w:sz w:val="32"/>
          <w:szCs w:val="32"/>
        </w:rPr>
        <w:t>5</w:t>
      </w:r>
      <w:r>
        <w:rPr>
          <w:rFonts w:hint="eastAsia" w:eastAsia="仿宋_GB2312"/>
          <w:sz w:val="32"/>
          <w:szCs w:val="32"/>
        </w:rPr>
        <w:t>.一般公共服务支出（类）人大事务（款）其他人大事务支出（项）:支出决算数为7.72万元，比上年决算减少7.28万元，下降48.5</w:t>
      </w:r>
      <w:r>
        <w:rPr>
          <w:rFonts w:hint="eastAsia" w:eastAsia="仿宋_GB2312"/>
          <w:sz w:val="32"/>
          <w:szCs w:val="32"/>
          <w:lang w:val="en-US" w:eastAsia="zh-CN"/>
        </w:rPr>
        <w:t>3</w:t>
      </w:r>
      <w:r>
        <w:rPr>
          <w:rFonts w:hint="eastAsia" w:eastAsia="仿宋_GB2312"/>
          <w:sz w:val="32"/>
          <w:szCs w:val="32"/>
        </w:rPr>
        <w:t>%，主要原因是按照上级单位要求，上级人大专项经费由财政拨付至各乡镇街道使用。</w:t>
      </w:r>
    </w:p>
    <w:p>
      <w:pPr>
        <w:ind w:firstLine="640" w:firstLineChars="200"/>
        <w:rPr>
          <w:rFonts w:eastAsia="仿宋_GB2312"/>
          <w:sz w:val="32"/>
          <w:szCs w:val="32"/>
          <w:lang w:val="zh-CN"/>
        </w:rPr>
      </w:pPr>
      <w:r>
        <w:rPr>
          <w:rFonts w:eastAsia="仿宋_GB2312"/>
          <w:sz w:val="32"/>
          <w:szCs w:val="32"/>
        </w:rPr>
        <w:t>6</w:t>
      </w:r>
      <w:r>
        <w:rPr>
          <w:rFonts w:hint="eastAsia" w:eastAsia="仿宋_GB2312"/>
          <w:sz w:val="32"/>
          <w:szCs w:val="32"/>
        </w:rPr>
        <w:t>.教育支出（类）进修及培训（款）培训支出（项）:支出决算数为1.97万元，比上年决算增加1.02万元，增长107.</w:t>
      </w:r>
      <w:r>
        <w:rPr>
          <w:rFonts w:hint="eastAsia" w:eastAsia="仿宋_GB2312"/>
          <w:sz w:val="32"/>
          <w:szCs w:val="32"/>
          <w:lang w:val="en-US" w:eastAsia="zh-CN"/>
        </w:rPr>
        <w:t>37</w:t>
      </w:r>
      <w:r>
        <w:rPr>
          <w:rFonts w:hint="eastAsia" w:eastAsia="仿宋_GB2312"/>
          <w:sz w:val="32"/>
          <w:szCs w:val="32"/>
        </w:rPr>
        <w:t>%，主要原因是：上年度受疫情影响，较多培训无法开展，2</w:t>
      </w:r>
      <w:r>
        <w:rPr>
          <w:rFonts w:eastAsia="仿宋_GB2312"/>
          <w:sz w:val="32"/>
          <w:szCs w:val="32"/>
        </w:rPr>
        <w:t>023</w:t>
      </w:r>
      <w:r>
        <w:rPr>
          <w:rFonts w:hint="eastAsia" w:eastAsia="仿宋_GB2312"/>
          <w:sz w:val="32"/>
          <w:szCs w:val="32"/>
        </w:rPr>
        <w:t>年度</w:t>
      </w:r>
      <w:r>
        <w:rPr>
          <w:rFonts w:hint="eastAsia" w:eastAsia="仿宋_GB2312"/>
          <w:sz w:val="32"/>
          <w:szCs w:val="32"/>
          <w:lang w:val="zh-CN"/>
        </w:rPr>
        <w:t>上级安排的加大业务培训力度和次数。</w:t>
      </w:r>
    </w:p>
    <w:p>
      <w:pPr>
        <w:ind w:firstLine="640" w:firstLineChars="200"/>
        <w:rPr>
          <w:rFonts w:eastAsia="仿宋_GB2312"/>
          <w:sz w:val="32"/>
          <w:szCs w:val="32"/>
          <w:lang w:val="zh-CN"/>
        </w:rPr>
      </w:pPr>
      <w:r>
        <w:rPr>
          <w:rFonts w:eastAsia="仿宋_GB2312"/>
          <w:sz w:val="32"/>
          <w:szCs w:val="32"/>
        </w:rPr>
        <w:t>7</w:t>
      </w:r>
      <w:r>
        <w:rPr>
          <w:rFonts w:hint="eastAsia" w:eastAsia="仿宋_GB2312"/>
          <w:sz w:val="32"/>
          <w:szCs w:val="32"/>
        </w:rPr>
        <w:t>.社会保障和就业支出（类）行政事业单位养老支出（款）行政单位离退休（项）:支出决算数为19.57万元，比上年决算增加6.65万元，增长51.46%，主要原因是：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年单位退休一名行政编制干部导致导致离退休人员养老支出增加。</w:t>
      </w:r>
    </w:p>
    <w:p>
      <w:pPr>
        <w:ind w:firstLine="640" w:firstLineChars="200"/>
        <w:rPr>
          <w:rFonts w:eastAsia="仿宋_GB2312"/>
          <w:sz w:val="32"/>
          <w:szCs w:val="32"/>
          <w:lang w:val="zh-CN"/>
        </w:rPr>
      </w:pPr>
      <w:r>
        <w:rPr>
          <w:rFonts w:hint="eastAsia" w:eastAsia="仿宋_GB2312"/>
          <w:sz w:val="32"/>
          <w:szCs w:val="32"/>
          <w:lang w:val="zh-CN"/>
        </w:rPr>
        <w:t>8</w:t>
      </w:r>
      <w:r>
        <w:rPr>
          <w:rFonts w:eastAsia="仿宋_GB2312"/>
          <w:sz w:val="32"/>
          <w:szCs w:val="32"/>
          <w:lang w:val="zh-CN"/>
        </w:rPr>
        <w:t>.</w:t>
      </w:r>
      <w:r>
        <w:rPr>
          <w:rFonts w:hint="eastAsia" w:eastAsia="仿宋_GB2312"/>
          <w:sz w:val="32"/>
          <w:szCs w:val="32"/>
        </w:rPr>
        <w:t>社会保障和就业支出（类）行政事业单位养老支出（款）机关事业单位基本养老保险缴费支出（项）:支出决算数为41.19万元，比上年决算增加1.95万元，增长4.98%，主要原因是：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年度在职在编人员工资提高，社保缴费基数提高。</w:t>
      </w:r>
    </w:p>
    <w:p>
      <w:pPr>
        <w:ind w:firstLine="640" w:firstLineChars="200"/>
        <w:rPr>
          <w:rFonts w:hint="eastAsia" w:eastAsia="仿宋_GB2312"/>
          <w:sz w:val="32"/>
          <w:szCs w:val="32"/>
          <w:lang w:val="zh-CN"/>
        </w:rPr>
      </w:pPr>
      <w:r>
        <w:rPr>
          <w:rFonts w:hint="eastAsia" w:eastAsia="仿宋_GB2312"/>
          <w:sz w:val="32"/>
          <w:szCs w:val="32"/>
        </w:rPr>
        <w:t>9.社会保障和就业支出（类）行政事业单位养老支出（款）机关事业单位职业年金缴费支出（项）:支出决算数为13.57万元，比上年决算增加8.29万元，增长157.</w:t>
      </w:r>
      <w:r>
        <w:rPr>
          <w:rFonts w:hint="eastAsia" w:eastAsia="仿宋_GB2312"/>
          <w:sz w:val="32"/>
          <w:szCs w:val="32"/>
          <w:lang w:val="en-US" w:eastAsia="zh-CN"/>
        </w:rPr>
        <w:t>0</w:t>
      </w:r>
      <w:r>
        <w:rPr>
          <w:rFonts w:hint="eastAsia" w:eastAsia="仿宋_GB2312"/>
          <w:sz w:val="32"/>
          <w:szCs w:val="32"/>
        </w:rPr>
        <w:t>1%，主要原因是：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年一名行政编制干部退休，一次性发放职业年金。</w:t>
      </w:r>
    </w:p>
    <w:p>
      <w:pPr>
        <w:ind w:firstLine="640" w:firstLineChars="200"/>
        <w:rPr>
          <w:rFonts w:eastAsia="仿宋_GB2312"/>
          <w:sz w:val="32"/>
          <w:szCs w:val="32"/>
          <w:lang w:val="zh-CN"/>
        </w:rPr>
      </w:pPr>
      <w:r>
        <w:rPr>
          <w:rFonts w:eastAsia="仿宋_GB2312"/>
          <w:sz w:val="32"/>
          <w:szCs w:val="32"/>
        </w:rPr>
        <w:t>10</w:t>
      </w:r>
      <w:r>
        <w:rPr>
          <w:rFonts w:hint="eastAsia" w:eastAsia="仿宋_GB2312"/>
          <w:sz w:val="32"/>
          <w:szCs w:val="32"/>
        </w:rPr>
        <w:t>.卫生健康支出（类）行政事业单位医疗（款）行政单位医疗（项）:支出决算数为29.11万元，比上年决算减少2.20万元，下降7.02%，主要原因是：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年单位一名行政编制干部退休导致单位医疗保险支出减少。</w:t>
      </w:r>
    </w:p>
    <w:p>
      <w:pPr>
        <w:ind w:firstLine="640" w:firstLineChars="200"/>
        <w:rPr>
          <w:rFonts w:eastAsia="仿宋_GB2312"/>
          <w:sz w:val="32"/>
          <w:szCs w:val="32"/>
          <w:lang w:val="zh-CN"/>
        </w:rPr>
      </w:pPr>
      <w:r>
        <w:rPr>
          <w:rFonts w:eastAsia="仿宋_GB2312"/>
          <w:sz w:val="32"/>
          <w:szCs w:val="32"/>
        </w:rPr>
        <w:t>11</w:t>
      </w:r>
      <w:r>
        <w:rPr>
          <w:rFonts w:hint="eastAsia" w:eastAsia="仿宋_GB2312"/>
          <w:sz w:val="32"/>
          <w:szCs w:val="32"/>
        </w:rPr>
        <w:t>.卫生健康支出（类）行政事业单位医疗（款）公务员医疗补助（项）:支出决算数为6.59万元，比上年决算减少6.82万元，下降50.8</w:t>
      </w:r>
      <w:r>
        <w:rPr>
          <w:rFonts w:hint="eastAsia" w:eastAsia="仿宋_GB2312"/>
          <w:sz w:val="32"/>
          <w:szCs w:val="32"/>
          <w:lang w:val="en-US" w:eastAsia="zh-CN"/>
        </w:rPr>
        <w:t>6</w:t>
      </w:r>
      <w:r>
        <w:rPr>
          <w:rFonts w:hint="eastAsia" w:eastAsia="仿宋_GB2312"/>
          <w:sz w:val="32"/>
          <w:szCs w:val="32"/>
        </w:rPr>
        <w:t>%，主要原因是：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年单位退休一名行政编制干部导致单位医疗保险支出减少。</w:t>
      </w:r>
    </w:p>
    <w:p>
      <w:pPr>
        <w:ind w:firstLine="640" w:firstLineChars="200"/>
        <w:rPr>
          <w:rFonts w:eastAsia="仿宋_GB2312"/>
          <w:sz w:val="32"/>
          <w:szCs w:val="32"/>
          <w:lang w:val="zh-CN"/>
        </w:rPr>
      </w:pPr>
      <w:r>
        <w:rPr>
          <w:rFonts w:eastAsia="仿宋_GB2312"/>
          <w:sz w:val="32"/>
          <w:szCs w:val="32"/>
        </w:rPr>
        <w:t>12.</w:t>
      </w:r>
      <w:r>
        <w:rPr>
          <w:rFonts w:hint="eastAsia" w:eastAsia="仿宋_GB2312"/>
          <w:sz w:val="32"/>
          <w:szCs w:val="32"/>
        </w:rPr>
        <w:t>住房保障支出（类）住房改革支出（款）住房公积金（项）:支出决算数为31.43万元，比上年决算减少2.18万元，下降6.48%，主要原因是：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年单位退休一名行政编制干部导致单位住房公积金支出减少。</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525.91万元，其中：人员经费474.84万元，包括：基本工资、津贴补贴、奖金、机关事业单位基本养老保险缴费、职业年金缴费、职工基本医疗保险缴费、公务员医疗补助缴费、其他社会保障缴费、住房公积金、退休费、抚恤金、生活补助、医疗费补助。</w:t>
      </w:r>
    </w:p>
    <w:p>
      <w:pPr>
        <w:ind w:firstLine="640" w:firstLineChars="200"/>
        <w:rPr>
          <w:rFonts w:ascii="仿宋_GB2312" w:eastAsia="仿宋_GB2312"/>
          <w:sz w:val="32"/>
          <w:szCs w:val="32"/>
          <w:highlight w:val="red"/>
        </w:rPr>
      </w:pPr>
      <w:r>
        <w:rPr>
          <w:rFonts w:hint="eastAsia" w:ascii="仿宋_GB2312" w:eastAsia="仿宋_GB2312"/>
          <w:sz w:val="32"/>
          <w:szCs w:val="32"/>
        </w:rPr>
        <w:t>公用经费51.07万元，包括：办公费、邮电费、培训费、工会经费、福利费、公务用车购置。</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“三公”经费支出30.95万元，</w:t>
      </w:r>
      <w:r>
        <w:rPr>
          <w:rFonts w:hint="eastAsia" w:ascii="仿宋_GB2312" w:eastAsia="仿宋_GB2312"/>
          <w:sz w:val="32"/>
          <w:szCs w:val="32"/>
        </w:rPr>
        <w:t>比上年</w:t>
      </w:r>
      <w:r>
        <w:rPr>
          <w:rFonts w:hint="eastAsia" w:ascii="仿宋_GB2312" w:eastAsia="仿宋_GB2312"/>
          <w:sz w:val="32"/>
          <w:szCs w:val="32"/>
          <w:lang w:val="zh-CN"/>
        </w:rPr>
        <w:t>增加30.95万元，</w:t>
      </w:r>
      <w:r>
        <w:rPr>
          <w:rFonts w:hint="eastAsia" w:ascii="仿宋_GB2312" w:eastAsia="仿宋_GB2312"/>
          <w:sz w:val="32"/>
          <w:szCs w:val="32"/>
        </w:rPr>
        <w:t>增长100.00%,</w:t>
      </w:r>
      <w:r>
        <w:rPr>
          <w:rFonts w:hint="eastAsia" w:ascii="仿宋_GB2312" w:eastAsia="仿宋_GB2312"/>
          <w:sz w:val="32"/>
          <w:szCs w:val="32"/>
          <w:lang w:val="zh-CN"/>
        </w:rPr>
        <w:t>主要原因是：本年度购入2辆红旗轿车。其中</w:t>
      </w:r>
      <w:r>
        <w:rPr>
          <w:rFonts w:hint="eastAsia" w:ascii="仿宋_GB2312" w:eastAsia="仿宋_GB2312"/>
          <w:color w:val="auto"/>
          <w:sz w:val="32"/>
          <w:szCs w:val="32"/>
          <w:highlight w:val="none"/>
          <w:lang w:val="zh-CN" w:eastAsia="zh-CN"/>
        </w:rPr>
        <w:t>：因公出国（境）费支出0.00万元，占0.00%，比上年增加0.00万元，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rPr>
        <w:t>因公出国（境）费</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rPr>
        <w:t>公务用车购置及运行维护费支出30.95万元，占100.00%，比上年增加30.95万元，</w:t>
      </w:r>
      <w:r>
        <w:rPr>
          <w:rFonts w:hint="eastAsia" w:ascii="仿宋_GB2312" w:eastAsia="仿宋_GB2312"/>
          <w:sz w:val="32"/>
          <w:szCs w:val="32"/>
        </w:rPr>
        <w:t>增长100.00%,</w:t>
      </w:r>
      <w:r>
        <w:rPr>
          <w:rFonts w:hint="eastAsia" w:ascii="仿宋_GB2312" w:eastAsia="仿宋_GB2312"/>
          <w:sz w:val="32"/>
          <w:szCs w:val="32"/>
          <w:lang w:val="zh-CN"/>
        </w:rPr>
        <w:t>主要原因是：本年度购入2辆红旗轿车；</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rPr>
        <w:t>公务接待费</w:t>
      </w:r>
      <w:r>
        <w:rPr>
          <w:rFonts w:hint="eastAsia" w:ascii="仿宋_GB2312" w:eastAsia="仿宋_GB2312"/>
          <w:color w:val="auto"/>
          <w:sz w:val="32"/>
          <w:szCs w:val="32"/>
          <w:highlight w:val="none"/>
          <w:lang w:val="zh-CN" w:eastAsia="zh-CN"/>
        </w:rPr>
        <w:t>。</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rPr>
        <w:t>因公出国（境）费支出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无开支内容</w:t>
      </w:r>
      <w:r>
        <w:rPr>
          <w:rFonts w:hint="eastAsia" w:ascii="仿宋_GB2312" w:eastAsia="仿宋_GB2312"/>
          <w:color w:val="auto"/>
          <w:sz w:val="32"/>
          <w:szCs w:val="32"/>
          <w:highlight w:val="none"/>
          <w:lang w:val="zh-CN" w:eastAsia="zh-CN"/>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公务用车购置及运行维护费30.95万元，其中：公务用车购置费30.95万元，公务用车运行维护费0.00万元。</w:t>
      </w:r>
      <w:r>
        <w:rPr>
          <w:rFonts w:hint="eastAsia" w:ascii="仿宋_GB2312" w:eastAsia="仿宋_GB2312"/>
          <w:color w:val="auto"/>
          <w:sz w:val="32"/>
          <w:szCs w:val="32"/>
          <w:highlight w:val="none"/>
          <w:lang w:val="zh-CN" w:eastAsia="zh-CN"/>
        </w:rPr>
        <w:t>公务用车运行维护费开支内容包括：</w:t>
      </w:r>
      <w:bookmarkStart w:id="48" w:name="_GoBack"/>
      <w:bookmarkEnd w:id="48"/>
      <w:r>
        <w:rPr>
          <w:rFonts w:hint="eastAsia" w:ascii="仿宋_GB2312" w:eastAsia="仿宋_GB2312"/>
          <w:color w:val="auto"/>
          <w:sz w:val="32"/>
          <w:szCs w:val="32"/>
          <w:highlight w:val="none"/>
          <w:lang w:val="zh-CN" w:eastAsia="zh-CN"/>
        </w:rPr>
        <w:t>我单位无公务用车运行维护费。</w:t>
      </w:r>
      <w:r>
        <w:rPr>
          <w:rFonts w:hint="eastAsia" w:ascii="仿宋_GB2312" w:eastAsia="仿宋_GB2312"/>
          <w:sz w:val="32"/>
          <w:szCs w:val="32"/>
          <w:lang w:val="zh-CN"/>
        </w:rPr>
        <w:t>公务用车购置数2辆，公务用车保有量0辆。国有资产占用情况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原因是：本年度购入2辆红旗轿车，无偿划拨出2辆帕萨特。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rPr>
        <w:t>公务接待费支出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无开支内容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预算数30.95万元，决算数30.95万元，预决算差异率0.00%，主要原因是：预决算无差异。其中：因公出国（境）费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0.00万元，决算数0.00万元，预决算差异率0.00%，主要原因是我单位全年未安排因公出国（境）费项目支出；公务用车购置费</w:t>
      </w:r>
      <w:r>
        <w:rPr>
          <w:rFonts w:hint="eastAsia" w:ascii="仿宋_GB2312" w:eastAsia="仿宋_GB2312"/>
          <w:sz w:val="32"/>
          <w:szCs w:val="32"/>
        </w:rPr>
        <w:t>全年</w:t>
      </w:r>
      <w:r>
        <w:rPr>
          <w:rFonts w:hint="eastAsia" w:ascii="仿宋_GB2312" w:eastAsia="仿宋_GB2312"/>
          <w:sz w:val="32"/>
          <w:szCs w:val="32"/>
          <w:lang w:val="zh-CN"/>
        </w:rPr>
        <w:t>预算数30.95万元，决算数30.95万元，预决算差异率0.00%，主要原因是：预决算无差异；公务用车运行费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预算数0.00万元，决算数0.00万元，预决算差异率0.00%，主要原因是：我单位无公务用车运行费；公务接待费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预算数0.00万元，决算数0.00万元，预决算差异率0.00%，主要原因是：我单位全年未安排公务接待费项目支出。</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库尔勒市人民代表大会常务委员会（行政单位和参照公务员法管理事业单位）机关运行经费支出51.07万元，</w:t>
      </w:r>
      <w:r>
        <w:rPr>
          <w:rFonts w:hint="eastAsia" w:eastAsia="仿宋_GB2312"/>
          <w:sz w:val="32"/>
          <w:szCs w:val="32"/>
          <w:lang w:val="zh-CN"/>
        </w:rPr>
        <w:t>比上年增加39.27万元，增长332.8</w:t>
      </w:r>
      <w:r>
        <w:rPr>
          <w:rFonts w:hint="eastAsia" w:eastAsia="仿宋_GB2312"/>
          <w:sz w:val="32"/>
          <w:szCs w:val="32"/>
          <w:lang w:val="en-US" w:eastAsia="zh-CN"/>
        </w:rPr>
        <w:t>0</w:t>
      </w:r>
      <w:r>
        <w:rPr>
          <w:rFonts w:hint="eastAsia" w:eastAsia="仿宋_GB2312"/>
          <w:sz w:val="32"/>
          <w:szCs w:val="32"/>
          <w:lang w:val="zh-CN"/>
        </w:rPr>
        <w:t>%，主要原因是：上年度受疫情影响，部分工作无法顺利开展，2</w:t>
      </w:r>
      <w:r>
        <w:rPr>
          <w:rFonts w:eastAsia="仿宋_GB2312"/>
          <w:sz w:val="32"/>
          <w:szCs w:val="32"/>
          <w:lang w:val="zh-CN"/>
        </w:rPr>
        <w:t>023</w:t>
      </w:r>
      <w:r>
        <w:rPr>
          <w:rFonts w:hint="eastAsia" w:eastAsia="仿宋_GB2312"/>
          <w:sz w:val="32"/>
          <w:szCs w:val="32"/>
          <w:lang w:val="zh-CN"/>
        </w:rPr>
        <w:t>年度为保障单位工作顺利开展，财政按需拨付相应资金。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2023年度政府采购支出总额32.38万元，其中：政府采购货物支出32.38万元、政府采购工程支出0.00万元、政府采购服务支出0.00万元。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授予中小企业合同金额1.43万元，占政府采购支出总额的4.41</w:t>
      </w:r>
      <w:r>
        <w:rPr>
          <w:rFonts w:eastAsia="仿宋_GB2312"/>
          <w:sz w:val="32"/>
          <w:szCs w:val="32"/>
          <w:lang w:val="zh-CN"/>
        </w:rPr>
        <w:t>%</w:t>
      </w:r>
      <w:r>
        <w:rPr>
          <w:rFonts w:hint="eastAsia" w:eastAsia="仿宋_GB2312"/>
          <w:sz w:val="32"/>
          <w:szCs w:val="32"/>
          <w:lang w:val="zh-CN"/>
        </w:rPr>
        <w:t>，其中：授予小微企业合同金额1.43万元，占政府采购支出总额的4.41</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172.48</w:t>
      </w:r>
      <w:r>
        <w:rPr>
          <w:rFonts w:hint="eastAsia" w:eastAsia="仿宋_GB2312"/>
          <w:sz w:val="32"/>
          <w:szCs w:val="32"/>
        </w:rPr>
        <w:t>万元，房</w:t>
      </w:r>
      <w:r>
        <w:rPr>
          <w:rFonts w:hint="eastAsia" w:eastAsia="仿宋_GB2312"/>
          <w:sz w:val="32"/>
          <w:szCs w:val="32"/>
          <w:lang w:val="zh-CN"/>
        </w:rPr>
        <w:t>屋0.00平方米，价值0.00万元。车辆4辆，价值57.78万元，其中：副部（省）级及以上领导用车0辆、主要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用车0辆、其他用车4辆，其他用车主要是：单位工作业务用车；单价100万元（含）以上设备（不含车辆）0</w:t>
      </w:r>
      <w:r>
        <w:rPr>
          <w:rFonts w:hint="eastAsia" w:eastAsia="仿宋_GB2312"/>
          <w:sz w:val="32"/>
          <w:szCs w:val="32"/>
        </w:rPr>
        <w:t>台</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eastAsia="仿宋_GB2312"/>
          <w:sz w:val="32"/>
          <w:szCs w:val="32"/>
        </w:rPr>
        <w:t>根据预算绩效管理要求，我</w:t>
      </w:r>
      <w:r>
        <w:rPr>
          <w:rFonts w:hint="eastAsia" w:ascii="仿宋_GB2312" w:eastAsia="仿宋_GB2312"/>
          <w:sz w:val="32"/>
          <w:szCs w:val="32"/>
          <w:lang w:val="en-US" w:eastAsia="zh-CN"/>
        </w:rPr>
        <w:t>部门</w:t>
      </w:r>
      <w:r>
        <w:rPr>
          <w:rFonts w:hint="eastAsia" w:ascii="仿宋_GB2312" w:eastAsia="仿宋_GB2312"/>
          <w:sz w:val="32"/>
          <w:szCs w:val="32"/>
        </w:rPr>
        <w:t>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预算总额5</w:t>
      </w:r>
      <w:r>
        <w:rPr>
          <w:rFonts w:ascii="仿宋_GB2312" w:eastAsia="仿宋_GB2312"/>
          <w:sz w:val="32"/>
          <w:szCs w:val="32"/>
        </w:rPr>
        <w:t>68.82</w:t>
      </w:r>
      <w:r>
        <w:rPr>
          <w:rFonts w:hint="eastAsia" w:ascii="仿宋_GB2312" w:eastAsia="仿宋_GB2312"/>
          <w:sz w:val="32"/>
          <w:szCs w:val="32"/>
        </w:rPr>
        <w:t>万元，实际执行总额5</w:t>
      </w:r>
      <w:r>
        <w:rPr>
          <w:rFonts w:ascii="仿宋_GB2312" w:eastAsia="仿宋_GB2312"/>
          <w:sz w:val="32"/>
          <w:szCs w:val="32"/>
        </w:rPr>
        <w:t>68.82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预算绩效评价项目6个，全年预算数8</w:t>
      </w:r>
      <w:r>
        <w:rPr>
          <w:rFonts w:ascii="仿宋_GB2312" w:eastAsia="仿宋_GB2312"/>
          <w:sz w:val="32"/>
          <w:szCs w:val="32"/>
        </w:rPr>
        <w:t>9.6</w:t>
      </w:r>
      <w:r>
        <w:rPr>
          <w:rFonts w:hint="eastAsia" w:ascii="仿宋_GB2312" w:eastAsia="仿宋_GB2312"/>
          <w:sz w:val="32"/>
          <w:szCs w:val="32"/>
        </w:rPr>
        <w:t>万元，全年执行数4</w:t>
      </w:r>
      <w:r>
        <w:rPr>
          <w:rFonts w:ascii="仿宋_GB2312" w:eastAsia="仿宋_GB2312"/>
          <w:sz w:val="32"/>
          <w:szCs w:val="32"/>
        </w:rPr>
        <w:t>2.91</w:t>
      </w:r>
      <w:r>
        <w:rPr>
          <w:rFonts w:hint="eastAsia" w:ascii="仿宋_GB2312" w:eastAsia="仿宋_GB2312"/>
          <w:sz w:val="32"/>
          <w:szCs w:val="32"/>
        </w:rPr>
        <w:t>万元。预算绩效管理取得的成效：一是提高人大代表的履职能力；二是保障调研、视察工作正常开展。</w:t>
      </w:r>
      <w:r>
        <w:rPr>
          <w:rFonts w:hint="eastAsia" w:ascii="Times New Roman" w:hAnsi="Times New Roman" w:eastAsia="仿宋_GB2312" w:cs="Times New Roman"/>
          <w:color w:val="auto"/>
          <w:sz w:val="32"/>
          <w:szCs w:val="32"/>
          <w:highlight w:val="none"/>
          <w:lang w:val="zh-CN" w:eastAsia="zh-CN"/>
        </w:rPr>
        <w:t>发现的问题及原因：一是</w:t>
      </w:r>
      <w:r>
        <w:rPr>
          <w:rFonts w:hint="eastAsia" w:ascii="Times New Roman" w:hAnsi="Times New Roman" w:eastAsia="仿宋_GB2312" w:cs="Times New Roman"/>
          <w:color w:val="auto"/>
          <w:sz w:val="32"/>
          <w:szCs w:val="32"/>
          <w:highlight w:val="none"/>
          <w:lang w:val="en-US" w:eastAsia="zh-CN"/>
        </w:rPr>
        <w:t>目前的预算管理在编制和实施中还存在编制不细、预算调整较多、追加预算比重较大等现象,因此项目预算执行的准确性还有待加强</w:t>
      </w:r>
      <w:r>
        <w:rPr>
          <w:rFonts w:hint="eastAsia" w:ascii="Times New Roman" w:hAnsi="Times New Roman" w:eastAsia="仿宋_GB2312" w:cs="Times New Roman"/>
          <w:color w:val="auto"/>
          <w:sz w:val="32"/>
          <w:szCs w:val="32"/>
          <w:highlight w:val="none"/>
          <w:lang w:val="zh-CN" w:eastAsia="zh-CN"/>
        </w:rPr>
        <w:t>；二是经办机构存在工作经费紧缺，信息化建设滞后的情况。下一步改进措施：一是全面编制预算项目，优先保障固定的、相对刚性的费用支出项目；二是</w:t>
      </w:r>
      <w:r>
        <w:rPr>
          <w:rFonts w:hint="eastAsia" w:ascii="Times New Roman" w:hAnsi="Times New Roman" w:eastAsia="仿宋_GB2312" w:cs="Times New Roman"/>
          <w:color w:val="auto"/>
          <w:sz w:val="32"/>
          <w:szCs w:val="32"/>
          <w:highlight w:val="none"/>
          <w:lang w:val="en-US" w:eastAsia="zh-CN"/>
        </w:rPr>
        <w:t>加强与财政部门的紧密配合,开展好整体支出及项目资金绩效管理工作,运用好绩效评价的结果,不断提升预算管理水平</w:t>
      </w:r>
      <w:r>
        <w:rPr>
          <w:rFonts w:hint="eastAsia" w:ascii="Times New Roman" w:hAnsi="Times New Roman" w:eastAsia="仿宋_GB2312" w:cs="Times New Roman"/>
          <w:color w:val="auto"/>
          <w:sz w:val="32"/>
          <w:szCs w:val="32"/>
          <w:highlight w:val="none"/>
          <w:lang w:val="zh-CN" w:eastAsia="zh-CN"/>
        </w:rPr>
        <w:t>。具体项目自评情况附绩效自评表</w:t>
      </w:r>
      <w:r>
        <w:rPr>
          <w:rFonts w:hint="eastAsia" w:ascii="Times New Roman" w:hAnsi="Times New Roman" w:eastAsia="仿宋_GB2312" w:cs="Times New Roman"/>
          <w:color w:val="auto"/>
          <w:sz w:val="32"/>
          <w:szCs w:val="32"/>
          <w:highlight w:val="none"/>
          <w:lang w:val="en-US" w:eastAsia="zh-CN"/>
        </w:rPr>
        <w:t>及自评报告</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ascii="仿宋_GB2312" w:eastAsia="仿宋_GB2312"/>
          <w:sz w:val="32"/>
          <w:szCs w:val="32"/>
        </w:rPr>
      </w:pPr>
    </w:p>
    <w:p>
      <w:pPr>
        <w:ind w:firstLine="640" w:firstLineChars="200"/>
        <w:jc w:val="left"/>
        <w:rPr>
          <w:rFonts w:ascii="仿宋_GB2312" w:eastAsia="仿宋_GB2312"/>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无其他需说明事项</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jc w:val="center"/>
        <w:outlineLvl w:val="0"/>
        <w:rPr>
          <w:rFonts w:ascii="黑体" w:hAnsi="黑体" w:eastAsia="黑体"/>
          <w:sz w:val="32"/>
          <w:szCs w:val="32"/>
        </w:rPr>
      </w:pP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576" w:firstLineChars="200"/>
        <w:outlineLvl w:val="1"/>
        <w:rPr>
          <w:rFonts w:ascii="黑体" w:hAnsi="黑体" w:eastAsia="仿宋_GB2312" w:cs="宋体"/>
          <w:bCs/>
          <w:w w:val="90"/>
          <w:kern w:val="0"/>
          <w:sz w:val="32"/>
          <w:szCs w:val="32"/>
        </w:rPr>
      </w:pPr>
      <w:bookmarkStart w:id="46" w:name="_Toc7643"/>
      <w:bookmarkStart w:id="47" w:name="_Toc5453"/>
      <w:r>
        <w:rPr>
          <w:rFonts w:hint="eastAsia" w:ascii="黑体" w:hAnsi="黑体" w:eastAsia="仿宋_GB2312" w:cs="宋体"/>
          <w:bCs/>
          <w:w w:val="90"/>
          <w:kern w:val="0"/>
          <w:sz w:val="32"/>
          <w:szCs w:val="32"/>
        </w:rPr>
        <w:t>八、《政府性基金预算财政拨款收入支出决算表》</w:t>
      </w:r>
      <w:bookmarkEnd w:id="46"/>
      <w:bookmarkEnd w:id="47"/>
      <w:r>
        <w:rPr>
          <w:rFonts w:hint="eastAsia" w:ascii="黑体" w:hAnsi="黑体" w:eastAsia="仿宋_GB2312" w:cs="宋体"/>
          <w:bCs/>
          <w:w w:val="90"/>
          <w:kern w:val="0"/>
          <w:sz w:val="32"/>
          <w:szCs w:val="32"/>
        </w:rPr>
        <w:t>（空表）</w:t>
      </w:r>
    </w:p>
    <w:p>
      <w:pPr>
        <w:ind w:firstLine="576" w:firstLineChars="200"/>
        <w:outlineLvl w:val="1"/>
        <w:rPr>
          <w:rFonts w:ascii="黑体" w:hAnsi="黑体" w:eastAsia="仿宋_GB2312" w:cs="宋体"/>
          <w:bCs/>
          <w:w w:val="90"/>
          <w:kern w:val="0"/>
          <w:sz w:val="32"/>
          <w:szCs w:val="32"/>
        </w:rPr>
      </w:pPr>
      <w:r>
        <w:rPr>
          <w:rFonts w:hint="eastAsia" w:ascii="黑体" w:hAnsi="黑体" w:eastAsia="仿宋_GB2312" w:cs="宋体"/>
          <w:bCs/>
          <w:w w:val="90"/>
          <w:kern w:val="0"/>
          <w:sz w:val="32"/>
          <w:szCs w:val="32"/>
        </w:rPr>
        <w:t>九、《国有资本经营预算财政拨款收入支出决算表》（空表）</w:t>
      </w:r>
    </w:p>
    <w:p>
      <w:pPr>
        <w:ind w:firstLine="576" w:firstLineChars="200"/>
        <w:rPr>
          <w:rFonts w:ascii="仿宋_GB2312" w:eastAsia="仿宋_GB2312"/>
          <w:w w:val="90"/>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rPr>
          <w:rFonts w:ascii="仿宋_GB2312" w:eastAsia="仿宋_GB2312"/>
          <w:sz w:val="32"/>
          <w:szCs w:val="32"/>
        </w:rPr>
      </w:pPr>
    </w:p>
    <w:p>
      <w:pPr>
        <w:jc w:val="left"/>
        <w:outlineLvl w:val="1"/>
        <w:rPr>
          <w:rFonts w:ascii="黑体" w:hAnsi="黑体" w:eastAsia="黑体" w:cs="宋体"/>
          <w:bCs/>
          <w:kern w:val="0"/>
          <w:sz w:val="32"/>
          <w:szCs w:val="32"/>
        </w:rPr>
      </w:pPr>
      <w:r>
        <w:drawing>
          <wp:inline distT="0" distB="0" distL="0" distR="0">
            <wp:extent cx="5273675" cy="8757285"/>
            <wp:effectExtent l="0" t="0" r="317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79833" cy="8767024"/>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r>
        <w:drawing>
          <wp:anchor distT="0" distB="0" distL="114300" distR="114300" simplePos="0" relativeHeight="251659264" behindDoc="0" locked="0" layoutInCell="1" allowOverlap="1">
            <wp:simplePos x="0" y="0"/>
            <wp:positionH relativeFrom="column">
              <wp:posOffset>-409575</wp:posOffset>
            </wp:positionH>
            <wp:positionV relativeFrom="paragraph">
              <wp:posOffset>15240</wp:posOffset>
            </wp:positionV>
            <wp:extent cx="6096000" cy="8636635"/>
            <wp:effectExtent l="0" t="0" r="0" b="12065"/>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6096000" cy="8636635"/>
                    </a:xfrm>
                    <a:prstGeom prst="rect">
                      <a:avLst/>
                    </a:prstGeom>
                    <a:noFill/>
                    <a:ln>
                      <a:noFill/>
                    </a:ln>
                  </pic:spPr>
                </pic:pic>
              </a:graphicData>
            </a:graphic>
          </wp:anchor>
        </w:drawing>
      </w:r>
    </w:p>
    <w:p>
      <w:pPr>
        <w:jc w:val="left"/>
        <w:outlineLvl w:val="1"/>
        <w:rPr>
          <w:rFonts w:ascii="黑体" w:hAnsi="黑体" w:eastAsia="黑体" w:cs="宋体"/>
          <w:bCs/>
          <w:kern w:val="0"/>
          <w:sz w:val="32"/>
          <w:szCs w:val="32"/>
        </w:rPr>
      </w:pPr>
      <w:r>
        <w:drawing>
          <wp:inline distT="0" distB="0" distL="0" distR="0">
            <wp:extent cx="5323840" cy="75596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344491" cy="7589223"/>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drawing>
          <wp:anchor distT="0" distB="0" distL="114300" distR="114300" simplePos="0" relativeHeight="251660288" behindDoc="0" locked="0" layoutInCell="1" allowOverlap="1">
            <wp:simplePos x="0" y="0"/>
            <wp:positionH relativeFrom="column">
              <wp:posOffset>-514350</wp:posOffset>
            </wp:positionH>
            <wp:positionV relativeFrom="paragraph">
              <wp:posOffset>55245</wp:posOffset>
            </wp:positionV>
            <wp:extent cx="6311265" cy="8763000"/>
            <wp:effectExtent l="0" t="0" r="13335" b="0"/>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6311265" cy="8763000"/>
                    </a:xfrm>
                    <a:prstGeom prst="rect">
                      <a:avLst/>
                    </a:prstGeom>
                    <a:noFill/>
                    <a:ln>
                      <a:noFill/>
                    </a:ln>
                  </pic:spPr>
                </pic:pic>
              </a:graphicData>
            </a:graphic>
          </wp:anchor>
        </w:drawing>
      </w:r>
    </w:p>
    <w:p>
      <w:pPr>
        <w:jc w:val="left"/>
        <w:outlineLvl w:val="1"/>
        <w:rPr>
          <w:rFonts w:ascii="黑体" w:hAnsi="黑体" w:eastAsia="黑体" w:cs="宋体"/>
          <w:bCs/>
          <w:kern w:val="0"/>
          <w:sz w:val="32"/>
          <w:szCs w:val="32"/>
        </w:rPr>
      </w:pPr>
      <w:r>
        <w:drawing>
          <wp:inline distT="0" distB="0" distL="0" distR="0">
            <wp:extent cx="5273675" cy="7585075"/>
            <wp:effectExtent l="0" t="0" r="317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80359" cy="7594744"/>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anchor distT="0" distB="0" distL="114300" distR="114300" simplePos="0" relativeHeight="251661312" behindDoc="0" locked="0" layoutInCell="1" allowOverlap="1">
            <wp:simplePos x="0" y="0"/>
            <wp:positionH relativeFrom="column">
              <wp:posOffset>-428625</wp:posOffset>
            </wp:positionH>
            <wp:positionV relativeFrom="paragraph">
              <wp:posOffset>91440</wp:posOffset>
            </wp:positionV>
            <wp:extent cx="6241415" cy="8509000"/>
            <wp:effectExtent l="0" t="0" r="6985" b="6350"/>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6241415" cy="8509000"/>
                    </a:xfrm>
                    <a:prstGeom prst="rect">
                      <a:avLst/>
                    </a:prstGeom>
                    <a:noFill/>
                    <a:ln>
                      <a:noFill/>
                    </a:ln>
                  </pic:spPr>
                </pic:pic>
              </a:graphicData>
            </a:graphic>
          </wp:anchor>
        </w:drawing>
      </w:r>
    </w:p>
    <w:p>
      <w:pPr>
        <w:outlineLvl w:val="1"/>
        <w:rPr>
          <w:rFonts w:ascii="黑体" w:hAnsi="黑体" w:eastAsia="黑体" w:cs="宋体"/>
          <w:bCs/>
          <w:kern w:val="0"/>
          <w:sz w:val="32"/>
          <w:szCs w:val="32"/>
        </w:rPr>
      </w:pPr>
      <w:r>
        <w:drawing>
          <wp:anchor distT="0" distB="0" distL="114300" distR="114300" simplePos="0" relativeHeight="251662336" behindDoc="0" locked="0" layoutInCell="1" allowOverlap="1">
            <wp:simplePos x="0" y="0"/>
            <wp:positionH relativeFrom="column">
              <wp:posOffset>-561975</wp:posOffset>
            </wp:positionH>
            <wp:positionV relativeFrom="paragraph">
              <wp:posOffset>1905</wp:posOffset>
            </wp:positionV>
            <wp:extent cx="6400800" cy="5012690"/>
            <wp:effectExtent l="0" t="0" r="0" b="16510"/>
            <wp:wrapSquare wrapText="bothSides"/>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6400800" cy="5012690"/>
                    </a:xfrm>
                    <a:prstGeom prst="rect">
                      <a:avLst/>
                    </a:prstGeom>
                    <a:noFill/>
                    <a:ln>
                      <a:noFill/>
                    </a:ln>
                  </pic:spPr>
                </pic:pic>
              </a:graphicData>
            </a:graphic>
          </wp:anchor>
        </w:drawing>
      </w:r>
    </w:p>
    <w:p>
      <w:pPr>
        <w:outlineLvl w:val="1"/>
        <w:rPr>
          <w:rFonts w:ascii="黑体" w:hAnsi="黑体" w:eastAsia="黑体" w:cs="宋体"/>
          <w:bCs/>
          <w:kern w:val="0"/>
          <w:sz w:val="32"/>
          <w:szCs w:val="32"/>
        </w:rPr>
      </w:pPr>
    </w:p>
    <w:p>
      <w:pPr>
        <w:jc w:val="center"/>
        <w:outlineLvl w:val="1"/>
        <w:rPr>
          <w:rFonts w:ascii="黑体" w:hAnsi="黑体" w:eastAsia="黑体" w:cs="宋体"/>
          <w:bCs/>
          <w:kern w:val="0"/>
          <w:sz w:val="32"/>
          <w:szCs w:val="32"/>
        </w:rPr>
      </w:pPr>
    </w:p>
    <w:p>
      <w:pPr>
        <w:jc w:val="center"/>
        <w:outlineLvl w:val="1"/>
        <w:rPr>
          <w:rFonts w:ascii="黑体" w:hAnsi="黑体" w:eastAsia="黑体" w:cs="宋体"/>
          <w:bCs/>
          <w:kern w:val="0"/>
          <w:sz w:val="32"/>
          <w:szCs w:val="32"/>
        </w:rPr>
      </w:pPr>
    </w:p>
    <w:p>
      <w:pPr>
        <w:jc w:val="center"/>
        <w:outlineLvl w:val="1"/>
        <w:rPr>
          <w:rFonts w:ascii="黑体" w:hAnsi="黑体" w:eastAsia="黑体" w:cs="宋体"/>
          <w:bCs/>
          <w:kern w:val="0"/>
          <w:sz w:val="32"/>
          <w:szCs w:val="32"/>
        </w:rPr>
      </w:pPr>
    </w:p>
    <w:p>
      <w:pPr>
        <w:jc w:val="center"/>
        <w:outlineLvl w:val="1"/>
        <w:rPr>
          <w:rFonts w:ascii="黑体" w:hAnsi="黑体" w:eastAsia="黑体" w:cs="宋体"/>
          <w:bCs/>
          <w:kern w:val="0"/>
          <w:sz w:val="32"/>
          <w:szCs w:val="32"/>
        </w:rPr>
      </w:pPr>
    </w:p>
    <w:p>
      <w:pPr>
        <w:jc w:val="center"/>
        <w:outlineLvl w:val="1"/>
        <w:rPr>
          <w:rFonts w:ascii="黑体" w:hAnsi="黑体" w:eastAsia="黑体" w:cs="宋体"/>
          <w:bCs/>
          <w:kern w:val="0"/>
          <w:sz w:val="32"/>
          <w:szCs w:val="32"/>
        </w:rPr>
      </w:pPr>
    </w:p>
    <w:p>
      <w:pPr>
        <w:jc w:val="center"/>
        <w:outlineLvl w:val="1"/>
        <w:rPr>
          <w:rFonts w:ascii="黑体" w:hAnsi="黑体" w:eastAsia="黑体" w:cs="宋体"/>
          <w:bCs/>
          <w:kern w:val="0"/>
          <w:sz w:val="32"/>
          <w:szCs w:val="32"/>
        </w:rPr>
      </w:pPr>
    </w:p>
    <w:p>
      <w:pPr>
        <w:jc w:val="cente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anchor distT="0" distB="0" distL="0" distR="0" simplePos="0" relativeHeight="251663360" behindDoc="0" locked="0" layoutInCell="1" allowOverlap="1">
            <wp:simplePos x="0" y="0"/>
            <wp:positionH relativeFrom="column">
              <wp:posOffset>-485775</wp:posOffset>
            </wp:positionH>
            <wp:positionV relativeFrom="paragraph">
              <wp:posOffset>30480</wp:posOffset>
            </wp:positionV>
            <wp:extent cx="6146165" cy="3749040"/>
            <wp:effectExtent l="0" t="0" r="6985" b="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46165" cy="3749040"/>
                    </a:xfrm>
                    <a:prstGeom prst="rect">
                      <a:avLst/>
                    </a:prstGeom>
                    <a:noFill/>
                    <a:ln>
                      <a:noFill/>
                    </a:ln>
                  </pic:spPr>
                </pic:pic>
              </a:graphicData>
            </a:graphic>
          </wp:anchor>
        </w:drawing>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anchor distT="0" distB="0" distL="0" distR="0" simplePos="0" relativeHeight="251664384" behindDoc="0" locked="0" layoutInCell="1" allowOverlap="1">
            <wp:simplePos x="0" y="0"/>
            <wp:positionH relativeFrom="column">
              <wp:posOffset>-561975</wp:posOffset>
            </wp:positionH>
            <wp:positionV relativeFrom="paragraph">
              <wp:posOffset>16510</wp:posOffset>
            </wp:positionV>
            <wp:extent cx="6274435" cy="3842385"/>
            <wp:effectExtent l="0" t="0" r="12065"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274435" cy="384238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OGZmZWJiZjkzMTc5MjUxM2FlYjUzNmFjOTJhZmYifQ=="/>
    <w:docVar w:name="KSO_WPS_MARK_KEY" w:val="41ee2a61-2d54-4f93-83be-afdb9a40d732"/>
  </w:docVars>
  <w:rsids>
    <w:rsidRoot w:val="00980284"/>
    <w:rsid w:val="00213C59"/>
    <w:rsid w:val="00261625"/>
    <w:rsid w:val="00283B17"/>
    <w:rsid w:val="002937E6"/>
    <w:rsid w:val="002F09CB"/>
    <w:rsid w:val="003210CE"/>
    <w:rsid w:val="003608CD"/>
    <w:rsid w:val="00393EE8"/>
    <w:rsid w:val="003A443E"/>
    <w:rsid w:val="003C674C"/>
    <w:rsid w:val="005343DA"/>
    <w:rsid w:val="005E7AA8"/>
    <w:rsid w:val="006244D7"/>
    <w:rsid w:val="006637A4"/>
    <w:rsid w:val="006A7467"/>
    <w:rsid w:val="0070539B"/>
    <w:rsid w:val="0074770E"/>
    <w:rsid w:val="007565B2"/>
    <w:rsid w:val="00782D60"/>
    <w:rsid w:val="007B50B1"/>
    <w:rsid w:val="00832DEF"/>
    <w:rsid w:val="00851286"/>
    <w:rsid w:val="00854F7F"/>
    <w:rsid w:val="00980284"/>
    <w:rsid w:val="009B065B"/>
    <w:rsid w:val="009D32A7"/>
    <w:rsid w:val="00A160A1"/>
    <w:rsid w:val="00A44F42"/>
    <w:rsid w:val="00AB1CE2"/>
    <w:rsid w:val="00AC7EDD"/>
    <w:rsid w:val="00B34823"/>
    <w:rsid w:val="00B50E64"/>
    <w:rsid w:val="00B70D59"/>
    <w:rsid w:val="00B765D6"/>
    <w:rsid w:val="00C0317C"/>
    <w:rsid w:val="00C91118"/>
    <w:rsid w:val="00CA18C3"/>
    <w:rsid w:val="00D94011"/>
    <w:rsid w:val="00D95E87"/>
    <w:rsid w:val="00F52A8D"/>
    <w:rsid w:val="00F624F7"/>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88481D"/>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652A17"/>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9563DD"/>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1092</Words>
  <Characters>6229</Characters>
  <Lines>51</Lines>
  <Paragraphs>14</Paragraphs>
  <TotalTime>2</TotalTime>
  <ScaleCrop>false</ScaleCrop>
  <LinksUpToDate>false</LinksUpToDate>
  <CharactersWithSpaces>7307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2024-08-21T02:00:00Z</dcterms:created>
  <dc:creator>GXR</dc:creator>
  <cp:lastModifiedBy>Administrator</cp:lastModifiedBy>
  <dcterms:modified xsi:type="dcterms:W3CDTF">2024-11-19T03:55:11Z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