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库尔勒市上户镇人民政府</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7"/>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部门概况</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4"/>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7"/>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8"/>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部门概况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rPr>
          <w:rFonts w:ascii="仿宋_GB2312" w:eastAsia="仿宋_GB2312"/>
          <w:sz w:val="32"/>
          <w:szCs w:val="32"/>
        </w:rPr>
      </w:pPr>
      <w:r>
        <w:rPr>
          <w:rFonts w:hint="eastAsia" w:ascii="仿宋_GB2312" w:eastAsia="仿宋_GB2312"/>
          <w:sz w:val="32"/>
          <w:szCs w:val="32"/>
        </w:rPr>
        <w:t>宣传、执行党的路线、方针、政策和国家法律、法规，保证上级党委政府决议、决定的落实，对居民进行思想政治教育和社会主义法治宣传；组织领导乡经济工作，制定乡经济发展规划，检查、督促各经济组织开展工作，负责乡财政预算和收支管理。加强外来人口管理，开展民事调解，保护老人、儿童、妇女、残疾人和青少年的合法权益，保障辖区内政治稳定和社会安定.向上级政府反映群众的意见和要求，办理人民群众来信来访事项，做好为居民群众服务工作；完成上级政府交办的其他事项。</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eastAsia="仿宋_GB2312"/>
          <w:sz w:val="32"/>
          <w:szCs w:val="32"/>
        </w:rPr>
      </w:pPr>
      <w:r>
        <w:rPr>
          <w:rFonts w:hint="eastAsia" w:ascii="仿宋_GB2312" w:eastAsia="仿宋_GB2312"/>
          <w:sz w:val="32"/>
          <w:szCs w:val="32"/>
        </w:rPr>
        <w:t>库尔勒市上户镇人民政府2023年度，实有人数</w:t>
      </w:r>
      <w:r>
        <w:rPr>
          <w:rFonts w:hint="eastAsia" w:ascii="仿宋_GB2312" w:eastAsia="仿宋_GB2312"/>
          <w:sz w:val="32"/>
          <w:szCs w:val="32"/>
          <w:lang w:val="zh-CN"/>
        </w:rPr>
        <w:t>109</w:t>
      </w:r>
      <w:r>
        <w:rPr>
          <w:rFonts w:hint="eastAsia" w:ascii="仿宋_GB2312" w:eastAsia="仿宋_GB2312"/>
          <w:sz w:val="32"/>
          <w:szCs w:val="32"/>
        </w:rPr>
        <w:t>人，其中：在职人员</w:t>
      </w:r>
      <w:r>
        <w:rPr>
          <w:rFonts w:hint="eastAsia" w:ascii="仿宋_GB2312" w:eastAsia="仿宋_GB2312"/>
          <w:sz w:val="32"/>
          <w:szCs w:val="32"/>
          <w:lang w:val="zh-CN"/>
        </w:rPr>
        <w:t>93</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16</w:t>
      </w:r>
      <w:r>
        <w:rPr>
          <w:rFonts w:hint="eastAsia" w:ascii="仿宋_GB2312" w:eastAsia="仿宋_GB2312"/>
          <w:sz w:val="32"/>
          <w:szCs w:val="32"/>
        </w:rPr>
        <w:t>人。</w:t>
      </w:r>
    </w:p>
    <w:p>
      <w:pPr>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w:t>
      </w:r>
      <w:r>
        <w:rPr>
          <w:rFonts w:hint="eastAsia" w:ascii="仿宋_GB2312" w:eastAsia="仿宋_GB2312"/>
          <w:sz w:val="32"/>
          <w:szCs w:val="32"/>
        </w:rPr>
        <w:t>无下属预算单位，下设11个处室，分别是：党政办、党建办、经济发展办、社会事务办、综合执法办、农业（畜牧业）发</w:t>
      </w:r>
      <w:r>
        <w:rPr>
          <w:rFonts w:hint="eastAsia" w:ascii="仿宋_GB2312" w:hAnsi="宋体" w:eastAsia="仿宋_GB2312" w:cs="宋体"/>
          <w:kern w:val="0"/>
          <w:sz w:val="32"/>
          <w:szCs w:val="32"/>
        </w:rPr>
        <w:t>展服务中心、文体广电旅游服务中心、社会保障（民政）服务中心、农村合作经济（统计）发展中心、村镇规划建设发展中心、综治中心网格化群众服务中心。</w:t>
      </w:r>
    </w:p>
    <w:p>
      <w:pPr>
        <w:rPr>
          <w:rFonts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黑体" w:hAnsi="黑体" w:eastAsia="黑体"/>
          <w:sz w:val="32"/>
          <w:szCs w:val="32"/>
        </w:rPr>
        <w:br w:type="page"/>
      </w:r>
    </w:p>
    <w:p>
      <w:pPr>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2023年度收入总计5,123.28万元，其中：本年收入合计5,123.28万元，使用非财政拨款结余0.00万元，年初结转和结余0.00万元。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2023年度支出总计5,123.28万元，其中：本年支出合计5,123.28万元，结余分配0.00万元，年末结转和结余0.00万元。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增加2,395.84万元</w:t>
      </w:r>
      <w:r>
        <w:rPr>
          <w:rFonts w:hint="eastAsia" w:ascii="仿宋_GB2312" w:eastAsia="仿宋_GB2312"/>
          <w:sz w:val="32"/>
          <w:szCs w:val="32"/>
        </w:rPr>
        <w:t>，</w:t>
      </w:r>
      <w:r>
        <w:rPr>
          <w:rFonts w:hint="eastAsia" w:ascii="仿宋_GB2312" w:eastAsia="仿宋_GB2312"/>
          <w:sz w:val="32"/>
          <w:szCs w:val="32"/>
          <w:lang w:val="zh-CN"/>
        </w:rPr>
        <w:t>增长87.84%</w:t>
      </w:r>
      <w:r>
        <w:rPr>
          <w:rFonts w:hint="eastAsia" w:ascii="仿宋_GB2312" w:eastAsia="仿宋_GB2312"/>
          <w:sz w:val="32"/>
          <w:szCs w:val="32"/>
        </w:rPr>
        <w:t>，主要原因是：按照文件精神增加绩效及基本工资调标，同时增加项目资金（1、上户镇纪检购买设备购置及办公用品0.53万元，2、上户镇疫情隔离伙食补助项目82.14万元，3、春节前农民工工资16.69万元，4、上户镇农贸市场建设工程项目952万元，5、大墩子村美丽乡村工程24.24万元，6、棉花目标价格改革补贴资金1498.93万元，7、上户镇退休人员社会化管理经费0.58万元，8、上户镇村服务中心102.9万元）。</w:t>
      </w:r>
      <w:bookmarkStart w:id="10" w:name="_Toc1979"/>
      <w:bookmarkStart w:id="11" w:name="_Toc12142"/>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二、入决算情况说明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本年收入5,123.28万元，其中：财政拨款收入</w:t>
      </w:r>
      <w:r>
        <w:rPr>
          <w:rFonts w:hint="eastAsia" w:ascii="仿宋_GB2312" w:eastAsia="仿宋_GB2312"/>
          <w:sz w:val="32"/>
          <w:szCs w:val="32"/>
          <w:lang w:val="zh-CN"/>
        </w:rPr>
        <w:t>5,123.28</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本年支出5,123.28万元，其中：基本支出2,444.75万元，占47.72%；项目支出2,678.53万元，占52.28%；上缴上级支出0.00万元，占0.00%；经营支出0.00万元，占0.00%；对附属单位补助支出0.00万元，占0.00%。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5,123.28</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5,123.28</w:t>
      </w:r>
      <w:r>
        <w:rPr>
          <w:rFonts w:hint="eastAsia" w:ascii="仿宋_GB2312" w:eastAsia="仿宋_GB2312"/>
          <w:sz w:val="32"/>
          <w:szCs w:val="32"/>
        </w:rPr>
        <w:t>万元。财政拨款支出总计</w:t>
      </w:r>
      <w:r>
        <w:rPr>
          <w:rFonts w:hint="eastAsia" w:ascii="仿宋_GB2312" w:eastAsia="仿宋_GB2312"/>
          <w:sz w:val="32"/>
          <w:szCs w:val="32"/>
          <w:lang w:val="zh-CN"/>
        </w:rPr>
        <w:t>5,123.28</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5,123.28</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增加2,395.84万元</w:t>
      </w:r>
      <w:r>
        <w:rPr>
          <w:rFonts w:hint="eastAsia" w:ascii="仿宋_GB2312" w:eastAsia="仿宋_GB2312"/>
          <w:sz w:val="32"/>
          <w:szCs w:val="32"/>
        </w:rPr>
        <w:t>，</w:t>
      </w:r>
      <w:r>
        <w:rPr>
          <w:rFonts w:hint="eastAsia" w:ascii="仿宋_GB2312" w:eastAsia="仿宋_GB2312"/>
          <w:sz w:val="32"/>
          <w:szCs w:val="32"/>
          <w:lang w:val="zh-CN"/>
        </w:rPr>
        <w:t>增长87.84%，</w:t>
      </w:r>
      <w:r>
        <w:rPr>
          <w:rFonts w:hint="eastAsia" w:ascii="仿宋_GB2312" w:eastAsia="仿宋_GB2312"/>
          <w:sz w:val="32"/>
          <w:szCs w:val="32"/>
        </w:rPr>
        <w:t>主要原因是：按照文件增加绩效及基本工资调标，同时增加项目资金（1、上户镇纪检购买设备购置及办公用品0.53万元，2、上户镇疫情隔离伙食补助项目82.14万元，3、春节前农民工工资16.69万元，4、上户镇农贸市场建设工程项目952万元，5、大墩子村美丽乡村工程24.24万元，6、棉花目标价格改革补贴资金1498.93万元，7、上户镇退休人员社会化管理经费0.58万元，8、上户镇村服务中心102.9万元）。</w:t>
      </w:r>
    </w:p>
    <w:p>
      <w:pPr>
        <w:rPr>
          <w:rFonts w:ascii="仿宋_GB2312" w:eastAsia="仿宋_GB2312"/>
          <w:sz w:val="32"/>
          <w:szCs w:val="32"/>
        </w:rPr>
      </w:pPr>
    </w:p>
    <w:p>
      <w:pPr>
        <w:ind w:firstLine="640" w:firstLineChars="200"/>
        <w:rPr>
          <w:rFonts w:ascii="仿宋_GB2312" w:eastAsia="仿宋_GB2312"/>
          <w:sz w:val="32"/>
          <w:szCs w:val="32"/>
        </w:rPr>
      </w:pPr>
      <w:r>
        <w:rPr>
          <w:rFonts w:hint="eastAsia" w:ascii="仿宋_GB2312" w:eastAsia="仿宋_GB2312"/>
          <w:sz w:val="32"/>
          <w:szCs w:val="32"/>
        </w:rPr>
        <w:t>与年初预算相比，年初预算数</w:t>
      </w:r>
      <w:r>
        <w:rPr>
          <w:rFonts w:hint="eastAsia" w:ascii="仿宋_GB2312" w:eastAsia="仿宋_GB2312"/>
          <w:sz w:val="32"/>
          <w:szCs w:val="32"/>
          <w:lang w:val="zh-CN"/>
        </w:rPr>
        <w:t>2,496.29</w:t>
      </w:r>
      <w:r>
        <w:rPr>
          <w:rFonts w:hint="eastAsia" w:ascii="仿宋_GB2312" w:eastAsia="仿宋_GB2312"/>
          <w:sz w:val="32"/>
          <w:szCs w:val="32"/>
        </w:rPr>
        <w:t>万元，决算数</w:t>
      </w:r>
      <w:r>
        <w:rPr>
          <w:rFonts w:hint="eastAsia" w:ascii="仿宋_GB2312" w:eastAsia="仿宋_GB2312"/>
          <w:sz w:val="32"/>
          <w:szCs w:val="32"/>
          <w:lang w:val="zh-CN"/>
        </w:rPr>
        <w:t>5,123.28</w:t>
      </w:r>
      <w:r>
        <w:rPr>
          <w:rFonts w:hint="eastAsia" w:ascii="仿宋_GB2312" w:eastAsia="仿宋_GB2312"/>
          <w:sz w:val="32"/>
          <w:szCs w:val="32"/>
        </w:rPr>
        <w:t>万元，预决算差异率105.24%，主要原因是：按照文件增加绩效及基本工资调标，增加乡村振兴项目。</w:t>
      </w:r>
    </w:p>
    <w:p>
      <w:pPr>
        <w:ind w:firstLine="640" w:firstLineChars="200"/>
        <w:jc w:val="left"/>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2023年度一般公共预算财政拨款支出5,105.49万元，占本年支出合计的</w:t>
      </w:r>
      <w:r>
        <w:rPr>
          <w:rFonts w:hint="eastAsia" w:ascii="仿宋_GB2312" w:eastAsia="仿宋_GB2312"/>
          <w:sz w:val="32"/>
          <w:szCs w:val="32"/>
          <w:lang w:val="zh-CN"/>
        </w:rPr>
        <w:t>99.65%</w:t>
      </w:r>
      <w:r>
        <w:rPr>
          <w:rFonts w:hint="eastAsia" w:ascii="仿宋_GB2312" w:eastAsia="仿宋_GB2312"/>
          <w:sz w:val="32"/>
          <w:szCs w:val="32"/>
        </w:rPr>
        <w:t>。与上年相比，</w:t>
      </w:r>
      <w:r>
        <w:rPr>
          <w:rFonts w:hint="eastAsia" w:ascii="仿宋_GB2312" w:eastAsia="仿宋_GB2312"/>
          <w:sz w:val="32"/>
          <w:szCs w:val="32"/>
          <w:lang w:val="zh-CN"/>
        </w:rPr>
        <w:t>增加2,378.05万元</w:t>
      </w:r>
      <w:r>
        <w:rPr>
          <w:rFonts w:hint="eastAsia" w:ascii="仿宋_GB2312" w:eastAsia="仿宋_GB2312"/>
          <w:sz w:val="32"/>
          <w:szCs w:val="32"/>
        </w:rPr>
        <w:t>，</w:t>
      </w:r>
      <w:r>
        <w:rPr>
          <w:rFonts w:hint="eastAsia" w:ascii="仿宋_GB2312" w:eastAsia="仿宋_GB2312"/>
          <w:sz w:val="32"/>
          <w:szCs w:val="32"/>
          <w:lang w:val="zh-CN"/>
        </w:rPr>
        <w:t>增长87.19%，</w:t>
      </w:r>
      <w:r>
        <w:rPr>
          <w:rFonts w:hint="eastAsia" w:ascii="仿宋_GB2312" w:eastAsia="仿宋_GB2312"/>
          <w:sz w:val="32"/>
          <w:szCs w:val="32"/>
        </w:rPr>
        <w:t>主要原因是按照文件增加绩效及基本工资调标，增加乡村振兴项目。</w:t>
      </w:r>
    </w:p>
    <w:p>
      <w:pPr>
        <w:ind w:firstLine="640" w:firstLineChars="200"/>
        <w:jc w:val="left"/>
        <w:rPr>
          <w:rFonts w:ascii="仿宋_GB2312" w:eastAsia="仿宋_GB2312"/>
          <w:sz w:val="32"/>
          <w:szCs w:val="32"/>
        </w:rPr>
      </w:pPr>
      <w:r>
        <w:rPr>
          <w:rFonts w:hint="eastAsia" w:ascii="仿宋_GB2312" w:eastAsia="仿宋_GB2312"/>
          <w:sz w:val="32"/>
          <w:szCs w:val="32"/>
        </w:rPr>
        <w:t>与年初预算相比，年初预算数</w:t>
      </w:r>
      <w:r>
        <w:rPr>
          <w:rFonts w:hint="eastAsia" w:ascii="仿宋_GB2312" w:eastAsia="仿宋_GB2312"/>
          <w:sz w:val="32"/>
          <w:szCs w:val="32"/>
          <w:lang w:val="zh-CN"/>
        </w:rPr>
        <w:t>2,496.08</w:t>
      </w:r>
      <w:r>
        <w:rPr>
          <w:rFonts w:hint="eastAsia" w:ascii="仿宋_GB2312" w:eastAsia="仿宋_GB2312"/>
          <w:sz w:val="32"/>
          <w:szCs w:val="32"/>
        </w:rPr>
        <w:t>万元，决算数</w:t>
      </w:r>
      <w:r>
        <w:rPr>
          <w:rFonts w:hint="eastAsia" w:ascii="仿宋_GB2312" w:eastAsia="仿宋_GB2312"/>
          <w:sz w:val="32"/>
          <w:szCs w:val="32"/>
          <w:lang w:val="zh-CN"/>
        </w:rPr>
        <w:t>5,105.49</w:t>
      </w:r>
      <w:r>
        <w:rPr>
          <w:rFonts w:hint="eastAsia" w:ascii="仿宋_GB2312" w:eastAsia="仿宋_GB2312"/>
          <w:sz w:val="32"/>
          <w:szCs w:val="32"/>
        </w:rPr>
        <w:t>万元，预决算差异率</w:t>
      </w:r>
      <w:r>
        <w:rPr>
          <w:rFonts w:hint="eastAsia" w:ascii="仿宋_GB2312" w:eastAsia="仿宋_GB2312"/>
          <w:sz w:val="32"/>
          <w:szCs w:val="32"/>
          <w:lang w:val="zh-CN"/>
        </w:rPr>
        <w:t>104.54%</w:t>
      </w:r>
      <w:r>
        <w:rPr>
          <w:rFonts w:hint="eastAsia" w:ascii="仿宋_GB2312" w:eastAsia="仿宋_GB2312"/>
          <w:sz w:val="32"/>
          <w:szCs w:val="32"/>
        </w:rPr>
        <w:t>，主要原因是：同时增加项目资金（1、上户镇纪检购买设备购置及办公用品0.53万元，2、上户镇疫情隔离伙食补助项目82.14万元，3、春节前农民工工资16.69万元，4、上户镇农贸市场建设工程项目952万元，5、大墩子村美丽乡村工程24.24万元，6、棉花目标价格改革补贴资金1498.93万元，7、上户镇退休人员社会化管理经费0.58万元，8、上户镇村服务中心102.9万元）。</w:t>
      </w:r>
    </w:p>
    <w:p>
      <w:pPr>
        <w:numPr>
          <w:ilvl w:val="0"/>
          <w:numId w:val="2"/>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1,743.83</w:t>
      </w:r>
      <w:r>
        <w:rPr>
          <w:rFonts w:ascii="仿宋_GB2312" w:eastAsia="仿宋_GB2312"/>
          <w:kern w:val="2"/>
          <w:sz w:val="32"/>
          <w:szCs w:val="32"/>
          <w:lang w:val="zh-CN"/>
        </w:rPr>
        <w:t>万元，占</w:t>
      </w:r>
      <w:r>
        <w:rPr>
          <w:rFonts w:hint="eastAsia" w:ascii="仿宋_GB2312" w:eastAsia="仿宋_GB2312"/>
          <w:kern w:val="2"/>
          <w:sz w:val="32"/>
          <w:szCs w:val="32"/>
          <w:lang w:val="zh-CN"/>
        </w:rPr>
        <w:t>34.16</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rPr>
        <w:t>2.</w:t>
      </w:r>
      <w:r>
        <w:rPr>
          <w:rFonts w:ascii="仿宋_GB2312" w:eastAsia="仿宋_GB2312"/>
          <w:kern w:val="2"/>
          <w:sz w:val="32"/>
          <w:szCs w:val="32"/>
          <w:lang w:val="zh-CN"/>
        </w:rPr>
        <w:t>教育支出（类）</w:t>
      </w:r>
      <w:r>
        <w:rPr>
          <w:rFonts w:hint="eastAsia" w:ascii="仿宋_GB2312" w:eastAsia="仿宋_GB2312"/>
          <w:kern w:val="2"/>
          <w:sz w:val="32"/>
          <w:szCs w:val="32"/>
          <w:lang w:val="zh-CN"/>
        </w:rPr>
        <w:t>8.47</w:t>
      </w:r>
      <w:r>
        <w:rPr>
          <w:rFonts w:ascii="仿宋_GB2312" w:eastAsia="仿宋_GB2312"/>
          <w:kern w:val="2"/>
          <w:sz w:val="32"/>
          <w:szCs w:val="32"/>
          <w:lang w:val="zh-CN"/>
        </w:rPr>
        <w:t>万元，占</w:t>
      </w:r>
      <w:r>
        <w:rPr>
          <w:rFonts w:hint="eastAsia" w:ascii="仿宋_GB2312" w:eastAsia="仿宋_GB2312"/>
          <w:kern w:val="2"/>
          <w:sz w:val="32"/>
          <w:szCs w:val="32"/>
          <w:lang w:val="zh-CN"/>
        </w:rPr>
        <w:t>0.17</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3</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2.61</w:t>
      </w:r>
      <w:r>
        <w:rPr>
          <w:rFonts w:ascii="仿宋_GB2312" w:eastAsia="仿宋_GB2312"/>
          <w:kern w:val="2"/>
          <w:sz w:val="32"/>
          <w:szCs w:val="32"/>
          <w:lang w:val="zh-CN"/>
        </w:rPr>
        <w:t>万元，占</w:t>
      </w:r>
      <w:r>
        <w:rPr>
          <w:rFonts w:hint="eastAsia" w:ascii="仿宋_GB2312" w:eastAsia="仿宋_GB2312"/>
          <w:kern w:val="2"/>
          <w:sz w:val="32"/>
          <w:szCs w:val="32"/>
          <w:lang w:val="zh-CN"/>
        </w:rPr>
        <w:t>0.05</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4</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184.77</w:t>
      </w:r>
      <w:r>
        <w:rPr>
          <w:rFonts w:ascii="仿宋_GB2312" w:eastAsia="仿宋_GB2312"/>
          <w:kern w:val="2"/>
          <w:sz w:val="32"/>
          <w:szCs w:val="32"/>
          <w:lang w:val="zh-CN"/>
        </w:rPr>
        <w:t>万元，占</w:t>
      </w:r>
      <w:r>
        <w:rPr>
          <w:rFonts w:hint="eastAsia" w:ascii="仿宋_GB2312" w:eastAsia="仿宋_GB2312"/>
          <w:kern w:val="2"/>
          <w:sz w:val="32"/>
          <w:szCs w:val="32"/>
          <w:lang w:val="zh-CN"/>
        </w:rPr>
        <w:t>3.62</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5</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153.88</w:t>
      </w:r>
      <w:r>
        <w:rPr>
          <w:rFonts w:ascii="仿宋_GB2312" w:eastAsia="仿宋_GB2312"/>
          <w:kern w:val="2"/>
          <w:sz w:val="32"/>
          <w:szCs w:val="32"/>
          <w:lang w:val="zh-CN"/>
        </w:rPr>
        <w:t>万元，占</w:t>
      </w:r>
      <w:r>
        <w:rPr>
          <w:rFonts w:hint="eastAsia" w:ascii="仿宋_GB2312" w:eastAsia="仿宋_GB2312"/>
          <w:kern w:val="2"/>
          <w:sz w:val="32"/>
          <w:szCs w:val="32"/>
          <w:lang w:val="zh-CN"/>
        </w:rPr>
        <w:t>3.01</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6</w:t>
      </w:r>
      <w:r>
        <w:rPr>
          <w:rFonts w:ascii="仿宋_GB2312" w:eastAsia="仿宋_GB2312"/>
          <w:kern w:val="2"/>
          <w:sz w:val="32"/>
          <w:szCs w:val="32"/>
          <w:lang w:val="zh-CN"/>
        </w:rPr>
        <w:t>.农林水支出（类）</w:t>
      </w:r>
      <w:r>
        <w:rPr>
          <w:rFonts w:hint="eastAsia" w:ascii="仿宋_GB2312" w:eastAsia="仿宋_GB2312"/>
          <w:kern w:val="2"/>
          <w:sz w:val="32"/>
          <w:szCs w:val="32"/>
          <w:lang w:val="zh-CN"/>
        </w:rPr>
        <w:t>2,776.45</w:t>
      </w:r>
      <w:r>
        <w:rPr>
          <w:rFonts w:ascii="仿宋_GB2312" w:eastAsia="仿宋_GB2312"/>
          <w:kern w:val="2"/>
          <w:sz w:val="32"/>
          <w:szCs w:val="32"/>
          <w:lang w:val="zh-CN"/>
        </w:rPr>
        <w:t>万元，占</w:t>
      </w:r>
      <w:r>
        <w:rPr>
          <w:rFonts w:hint="eastAsia" w:ascii="仿宋_GB2312" w:eastAsia="仿宋_GB2312"/>
          <w:kern w:val="2"/>
          <w:sz w:val="32"/>
          <w:szCs w:val="32"/>
          <w:lang w:val="zh-CN"/>
        </w:rPr>
        <w:t>54.38</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7</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132.59</w:t>
      </w:r>
      <w:r>
        <w:rPr>
          <w:rFonts w:ascii="仿宋_GB2312" w:eastAsia="仿宋_GB2312"/>
          <w:kern w:val="2"/>
          <w:sz w:val="32"/>
          <w:szCs w:val="32"/>
          <w:lang w:val="zh-CN"/>
        </w:rPr>
        <w:t>万元，占</w:t>
      </w:r>
      <w:r>
        <w:rPr>
          <w:rFonts w:hint="eastAsia" w:ascii="仿宋_GB2312" w:eastAsia="仿宋_GB2312"/>
          <w:kern w:val="2"/>
          <w:sz w:val="32"/>
          <w:szCs w:val="32"/>
          <w:lang w:val="zh-CN"/>
        </w:rPr>
        <w:t>2.60</w:t>
      </w:r>
      <w:r>
        <w:rPr>
          <w:rFonts w:ascii="仿宋_GB2312" w:eastAsia="仿宋_GB2312"/>
          <w:kern w:val="2"/>
          <w:sz w:val="32"/>
          <w:szCs w:val="32"/>
          <w:lang w:val="zh-CN"/>
        </w:rPr>
        <w:t>%；</w:t>
      </w:r>
    </w:p>
    <w:p>
      <w:pPr>
        <w:pStyle w:val="9"/>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8</w:t>
      </w:r>
      <w:r>
        <w:rPr>
          <w:rFonts w:ascii="仿宋_GB2312" w:eastAsia="仿宋_GB2312"/>
          <w:kern w:val="2"/>
          <w:sz w:val="32"/>
          <w:szCs w:val="32"/>
          <w:lang w:val="zh-CN"/>
        </w:rPr>
        <w:t>.其他支出（类）</w:t>
      </w:r>
      <w:r>
        <w:rPr>
          <w:rFonts w:hint="eastAsia" w:ascii="仿宋_GB2312" w:eastAsia="仿宋_GB2312"/>
          <w:kern w:val="2"/>
          <w:sz w:val="32"/>
          <w:szCs w:val="32"/>
          <w:lang w:val="zh-CN"/>
        </w:rPr>
        <w:t>102.90</w:t>
      </w:r>
      <w:r>
        <w:rPr>
          <w:rFonts w:ascii="仿宋_GB2312" w:eastAsia="仿宋_GB2312"/>
          <w:kern w:val="2"/>
          <w:sz w:val="32"/>
          <w:szCs w:val="32"/>
          <w:lang w:val="zh-CN"/>
        </w:rPr>
        <w:t>万元，占</w:t>
      </w:r>
      <w:r>
        <w:rPr>
          <w:rFonts w:hint="eastAsia" w:ascii="仿宋_GB2312" w:eastAsia="仿宋_GB2312"/>
          <w:kern w:val="2"/>
          <w:sz w:val="32"/>
          <w:szCs w:val="32"/>
          <w:lang w:val="zh-CN"/>
        </w:rPr>
        <w:t>2.02</w:t>
      </w:r>
      <w:r>
        <w:rPr>
          <w:rFonts w:ascii="仿宋_GB2312" w:eastAsia="仿宋_GB2312"/>
          <w:kern w:val="2"/>
          <w:sz w:val="32"/>
          <w:szCs w:val="32"/>
          <w:lang w:val="zh-CN"/>
        </w:rPr>
        <w:t>%；</w:t>
      </w:r>
    </w:p>
    <w:p>
      <w:pPr>
        <w:pStyle w:val="9"/>
        <w:widowControl/>
        <w:spacing w:before="0" w:beforeAutospacing="0" w:after="0" w:afterAutospacing="0"/>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1.农林水支出（类）巩固脱贫攻坚成果衔接乡村振兴（款）其他巩固脱贫攻坚成果衔接乡村振兴支出（项）:支出决算数为23.32万元，比上年决算增加20.32万元，增长677.3</w:t>
      </w:r>
      <w:r>
        <w:rPr>
          <w:rFonts w:hint="eastAsia" w:eastAsia="仿宋_GB2312"/>
          <w:sz w:val="32"/>
          <w:szCs w:val="32"/>
          <w:lang w:val="en-US" w:eastAsia="zh-CN"/>
        </w:rPr>
        <w:t>3</w:t>
      </w:r>
      <w:r>
        <w:rPr>
          <w:rFonts w:hint="eastAsia" w:eastAsia="仿宋_GB2312"/>
          <w:sz w:val="32"/>
          <w:szCs w:val="32"/>
        </w:rPr>
        <w:t>%，主要原因是：2023年新增</w:t>
      </w:r>
      <w:r>
        <w:rPr>
          <w:rFonts w:hint="eastAsia" w:ascii="仿宋_GB2312" w:hAnsi="仿宋_GB2312" w:eastAsia="仿宋_GB2312" w:cs="仿宋_GB2312"/>
          <w:kern w:val="0"/>
          <w:sz w:val="32"/>
          <w:szCs w:val="32"/>
        </w:rPr>
        <w:t>乡村振兴项目支出</w:t>
      </w:r>
      <w:r>
        <w:rPr>
          <w:rFonts w:hint="eastAsia" w:eastAsia="仿宋_GB2312"/>
          <w:sz w:val="32"/>
          <w:szCs w:val="32"/>
          <w:lang w:val="zh-CN"/>
        </w:rPr>
        <w:t>。</w:t>
      </w:r>
    </w:p>
    <w:p>
      <w:pPr>
        <w:spacing w:line="600" w:lineRule="exact"/>
        <w:ind w:firstLine="640" w:firstLineChars="200"/>
        <w:rPr>
          <w:rFonts w:eastAsia="仿宋_GB2312"/>
          <w:sz w:val="32"/>
          <w:szCs w:val="32"/>
          <w:lang w:val="zh-CN"/>
        </w:rPr>
      </w:pPr>
      <w:r>
        <w:rPr>
          <w:rFonts w:hint="eastAsia" w:eastAsia="仿宋_GB2312"/>
          <w:sz w:val="32"/>
          <w:szCs w:val="32"/>
        </w:rPr>
        <w:t>2.社会保障和就业支出（类）行政事业单位养老支出（款）行政单位离退休（项）:支出决算数为9.19万元，比上年决算增加3.73万元，增长68.</w:t>
      </w:r>
      <w:r>
        <w:rPr>
          <w:rFonts w:hint="eastAsia" w:eastAsia="仿宋_GB2312"/>
          <w:sz w:val="32"/>
          <w:szCs w:val="32"/>
          <w:lang w:val="en-US" w:eastAsia="zh-CN"/>
        </w:rPr>
        <w:t>32</w:t>
      </w:r>
      <w:r>
        <w:rPr>
          <w:rFonts w:hint="eastAsia" w:eastAsia="仿宋_GB2312"/>
          <w:sz w:val="32"/>
          <w:szCs w:val="32"/>
        </w:rPr>
        <w:t>%，主要原因是：</w:t>
      </w:r>
      <w:r>
        <w:rPr>
          <w:rFonts w:hint="eastAsia" w:ascii="仿宋_GB2312" w:eastAsia="仿宋_GB2312"/>
          <w:sz w:val="32"/>
          <w:szCs w:val="32"/>
        </w:rPr>
        <w:t>按照文件精神增加绩效及基本工资调标,行政单位退休资金增加。</w:t>
      </w:r>
      <w:r>
        <w:rPr>
          <w:rFonts w:hint="eastAsia" w:ascii="仿宋_GB2312" w:hAnsi="仿宋_GB2312" w:eastAsia="仿宋_GB2312" w:cs="仿宋_GB2312"/>
          <w:kern w:val="0"/>
          <w:sz w:val="32"/>
          <w:szCs w:val="32"/>
        </w:rPr>
        <w:t xml:space="preserve"> </w:t>
      </w:r>
    </w:p>
    <w:p>
      <w:pPr>
        <w:spacing w:line="600" w:lineRule="exact"/>
        <w:ind w:firstLine="640"/>
        <w:rPr>
          <w:rFonts w:eastAsia="仿宋_GB2312"/>
          <w:sz w:val="32"/>
          <w:szCs w:val="32"/>
          <w:lang w:val="zh-CN"/>
        </w:rPr>
      </w:pPr>
      <w:r>
        <w:rPr>
          <w:rFonts w:hint="eastAsia" w:eastAsia="仿宋_GB2312"/>
          <w:sz w:val="32"/>
          <w:szCs w:val="32"/>
        </w:rPr>
        <w:t>3.社会保障和就业支出（类）就业补助（款）公益性岗位补贴（项）:支出决算数为50.99万元，比上年决算减少377.60万元，下降88.10%，主要原因是：</w:t>
      </w:r>
      <w:r>
        <w:rPr>
          <w:rFonts w:hint="eastAsia" w:eastAsia="仿宋_GB2312"/>
          <w:sz w:val="32"/>
          <w:szCs w:val="32"/>
          <w:lang w:val="zh-CN"/>
        </w:rPr>
        <w:t>因公益性岗位精简原因</w:t>
      </w:r>
      <w:r>
        <w:rPr>
          <w:rFonts w:hint="eastAsia" w:eastAsia="仿宋_GB2312"/>
          <w:sz w:val="32"/>
          <w:szCs w:val="32"/>
        </w:rPr>
        <w:t>2023年公益性岗位补贴比上年决算减少</w:t>
      </w:r>
      <w:r>
        <w:rPr>
          <w:rFonts w:hint="eastAsia" w:eastAsia="仿宋_GB2312"/>
          <w:sz w:val="32"/>
          <w:szCs w:val="32"/>
          <w:lang w:val="zh-CN"/>
        </w:rPr>
        <w:t>。</w:t>
      </w:r>
    </w:p>
    <w:p>
      <w:pPr>
        <w:spacing w:line="600" w:lineRule="exact"/>
        <w:ind w:firstLine="640"/>
        <w:rPr>
          <w:rFonts w:ascii="仿宋_GB2312" w:hAnsi="仿宋_GB2312" w:eastAsia="仿宋_GB2312" w:cs="仿宋_GB2312"/>
          <w:kern w:val="0"/>
          <w:sz w:val="32"/>
          <w:szCs w:val="32"/>
          <w:highlight w:val="none"/>
        </w:rPr>
      </w:pPr>
      <w:r>
        <w:rPr>
          <w:rFonts w:hint="eastAsia" w:eastAsia="仿宋_GB2312"/>
          <w:sz w:val="32"/>
          <w:szCs w:val="32"/>
          <w:highlight w:val="none"/>
        </w:rPr>
        <w:t>4.社会保障和就业支出（类）行政事业单位养老支出（款）机关事业单位职业年金缴费支出（项）:支出决算数为6.69万元，比上年决算减少1.30万元，下降16.2</w:t>
      </w:r>
      <w:r>
        <w:rPr>
          <w:rFonts w:hint="eastAsia" w:eastAsia="仿宋_GB2312"/>
          <w:sz w:val="32"/>
          <w:szCs w:val="32"/>
          <w:highlight w:val="none"/>
          <w:lang w:val="en-US" w:eastAsia="zh-CN"/>
        </w:rPr>
        <w:t>7</w:t>
      </w:r>
      <w:r>
        <w:rPr>
          <w:rFonts w:hint="eastAsia" w:eastAsia="仿宋_GB2312"/>
          <w:sz w:val="32"/>
          <w:szCs w:val="32"/>
          <w:highlight w:val="none"/>
        </w:rPr>
        <w:t>%，主要原因是：</w:t>
      </w:r>
      <w:r>
        <w:rPr>
          <w:rFonts w:hint="eastAsia" w:ascii="仿宋_GB2312" w:eastAsia="仿宋_GB2312"/>
          <w:sz w:val="32"/>
          <w:szCs w:val="32"/>
          <w:highlight w:val="none"/>
          <w:lang w:val="en-US" w:eastAsia="zh-CN"/>
        </w:rPr>
        <w:t>在职人员减少原因导致此项的减少</w:t>
      </w:r>
      <w:r>
        <w:rPr>
          <w:rFonts w:hint="eastAsia" w:ascii="仿宋_GB2312" w:eastAsia="仿宋_GB2312"/>
          <w:sz w:val="32"/>
          <w:szCs w:val="32"/>
          <w:highlight w:val="none"/>
        </w:rPr>
        <w:t>。</w:t>
      </w:r>
    </w:p>
    <w:p>
      <w:pPr>
        <w:ind w:firstLine="640" w:firstLineChars="200"/>
        <w:rPr>
          <w:rFonts w:eastAsia="仿宋_GB2312"/>
          <w:sz w:val="32"/>
          <w:szCs w:val="32"/>
          <w:lang w:val="zh-CN"/>
        </w:rPr>
      </w:pPr>
    </w:p>
    <w:p>
      <w:pPr>
        <w:spacing w:line="600" w:lineRule="exact"/>
        <w:ind w:firstLine="640"/>
        <w:rPr>
          <w:rFonts w:eastAsia="仿宋_GB2312"/>
          <w:sz w:val="32"/>
          <w:szCs w:val="32"/>
          <w:lang w:val="zh-CN"/>
        </w:rPr>
      </w:pPr>
      <w:r>
        <w:rPr>
          <w:rFonts w:hint="eastAsia" w:eastAsia="仿宋_GB2312"/>
          <w:sz w:val="32"/>
          <w:szCs w:val="32"/>
        </w:rPr>
        <w:t>5.社会保障和就业支出（类）行政事业单位养老支出（款）机关事业单位基本养老保险缴费支出（项）:支出决算数为117.39万元，比上年决算减少15.98万元，下降11.98%，主要原因是：</w:t>
      </w:r>
      <w:r>
        <w:rPr>
          <w:rFonts w:hint="eastAsia" w:ascii="仿宋_GB2312" w:eastAsia="仿宋_GB2312"/>
          <w:sz w:val="32"/>
          <w:szCs w:val="32"/>
        </w:rPr>
        <w:t>2023年我部门在职在编减少。</w:t>
      </w:r>
    </w:p>
    <w:p>
      <w:pPr>
        <w:ind w:firstLine="640" w:firstLineChars="200"/>
        <w:rPr>
          <w:rFonts w:eastAsia="仿宋_GB2312"/>
          <w:sz w:val="32"/>
          <w:szCs w:val="32"/>
          <w:lang w:val="zh-CN"/>
        </w:rPr>
      </w:pPr>
      <w:r>
        <w:rPr>
          <w:rFonts w:hint="eastAsia" w:eastAsia="仿宋_GB2312"/>
          <w:sz w:val="32"/>
          <w:szCs w:val="32"/>
        </w:rPr>
        <w:t>6.一般公共服务支出（类）人大事务（款）代表工作（项）:支出决算数为1.71万元，比上年决算增加1.71万元，增长100%，主要原因是：2023年财政预算安排新增人大代表工作经费</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7.一般公共服务支出（类）组织事务（款）其他组织事务支出（项）:支出决算数为163.45万元，比上年决算增加9.85万元，增长6.41%，主要原因是：增加基层组织项目资金及驻村工作队人员</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8.一般公共服务支出（类）纪检监察事务（款）其他纪检监察事务支出（项）:支出决算数为2.15万元，比上年决算增加1.80万元，增长514.29%，主要原因是：2023年增加中央纪检监察事务其他纪检监察事务支出（装备经费及办案经费）</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9.农林水支出（类）农村综合改革（款）对村民委员会和村党支部的补助（项）:支出决算数为277.95万元，比上年决算增加197.77万元，增长</w:t>
      </w:r>
      <w:r>
        <w:rPr>
          <w:rFonts w:hint="eastAsia" w:eastAsia="仿宋_GB2312"/>
          <w:sz w:val="32"/>
          <w:szCs w:val="32"/>
          <w:lang w:val="en-US" w:eastAsia="zh-CN"/>
        </w:rPr>
        <w:t>246.66</w:t>
      </w:r>
      <w:r>
        <w:rPr>
          <w:rFonts w:hint="eastAsia" w:eastAsia="仿宋_GB2312"/>
          <w:sz w:val="32"/>
          <w:szCs w:val="32"/>
        </w:rPr>
        <w:t>%，主要原因是：</w:t>
      </w:r>
      <w:r>
        <w:rPr>
          <w:rFonts w:hint="eastAsia" w:ascii="仿宋_GB2312" w:eastAsia="仿宋_GB2312"/>
          <w:sz w:val="32"/>
          <w:szCs w:val="32"/>
        </w:rPr>
        <w:t>按照文件精神提高村两委干部及村民小组干部工资基数，同时村级运行经费增加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10.一般公共服务支出（类）政府办公厅（室）及相关机构事务（款）行政运行（项）:支出决算数为1,528.75万元，比上年决算增加410.94万元，增长36.76%，主要原因是：</w:t>
      </w:r>
      <w:r>
        <w:rPr>
          <w:rFonts w:hint="eastAsia" w:ascii="仿宋_GB2312" w:eastAsia="仿宋_GB2312"/>
          <w:sz w:val="32"/>
          <w:szCs w:val="32"/>
        </w:rPr>
        <w:t>按照文件精神增加绩效及基本工资调标,</w:t>
      </w:r>
      <w:r>
        <w:rPr>
          <w:rFonts w:hint="eastAsia" w:eastAsia="仿宋_GB2312"/>
          <w:sz w:val="32"/>
          <w:szCs w:val="32"/>
        </w:rPr>
        <w:t>2023年支付2020年绩效工资原因比上年决算增加</w:t>
      </w:r>
      <w:r>
        <w:rPr>
          <w:rFonts w:hint="eastAsia" w:ascii="仿宋_GB2312" w:eastAsia="仿宋_GB2312"/>
          <w:sz w:val="32"/>
          <w:szCs w:val="32"/>
        </w:rPr>
        <w:t>。</w:t>
      </w:r>
    </w:p>
    <w:p>
      <w:pPr>
        <w:ind w:firstLine="640" w:firstLineChars="200"/>
        <w:rPr>
          <w:rFonts w:eastAsia="仿宋_GB2312"/>
          <w:sz w:val="32"/>
          <w:szCs w:val="32"/>
          <w:lang w:val="zh-CN"/>
        </w:rPr>
      </w:pPr>
      <w:r>
        <w:rPr>
          <w:rFonts w:hint="eastAsia" w:eastAsia="仿宋_GB2312"/>
          <w:sz w:val="32"/>
          <w:szCs w:val="32"/>
        </w:rPr>
        <w:t>11.一般公共服务支出（类）统战事务（款）其他统战事务支出（项）:支出决算数为7.72万元，比上年决算减少11.24万元，下降</w:t>
      </w:r>
      <w:r>
        <w:rPr>
          <w:rFonts w:hint="eastAsia" w:eastAsia="仿宋_GB2312"/>
          <w:sz w:val="32"/>
          <w:szCs w:val="32"/>
          <w:lang w:val="en-US" w:eastAsia="zh-CN"/>
        </w:rPr>
        <w:t>59.28</w:t>
      </w:r>
      <w:r>
        <w:rPr>
          <w:rFonts w:hint="eastAsia" w:eastAsia="仿宋_GB2312"/>
          <w:sz w:val="32"/>
          <w:szCs w:val="32"/>
        </w:rPr>
        <w:t>%，主要原因是：2023年管委会人员撤回原因比上年决算减少</w:t>
      </w:r>
      <w:r>
        <w:rPr>
          <w:rFonts w:hint="eastAsia" w:eastAsia="仿宋_GB2312"/>
          <w:sz w:val="32"/>
          <w:szCs w:val="32"/>
          <w:lang w:val="zh-CN"/>
        </w:rPr>
        <w:t>。</w:t>
      </w:r>
    </w:p>
    <w:p>
      <w:pPr>
        <w:spacing w:line="600" w:lineRule="exact"/>
        <w:ind w:firstLine="640"/>
        <w:rPr>
          <w:rFonts w:eastAsia="仿宋_GB2312"/>
          <w:sz w:val="32"/>
          <w:szCs w:val="32"/>
          <w:lang w:val="zh-CN"/>
        </w:rPr>
      </w:pPr>
      <w:r>
        <w:rPr>
          <w:rFonts w:hint="eastAsia" w:eastAsia="仿宋_GB2312"/>
          <w:sz w:val="32"/>
          <w:szCs w:val="32"/>
        </w:rPr>
        <w:t>12.卫生健康支出（类）行政事业单位医疗（款）行政单位医疗（项）:支出决算数为62.77万元，比上年决算减少2.20万元，下降</w:t>
      </w:r>
      <w:r>
        <w:rPr>
          <w:rFonts w:hint="eastAsia" w:eastAsia="仿宋_GB2312"/>
          <w:sz w:val="32"/>
          <w:szCs w:val="32"/>
          <w:lang w:val="en-US" w:eastAsia="zh-CN"/>
        </w:rPr>
        <w:t>3.39</w:t>
      </w:r>
      <w:r>
        <w:rPr>
          <w:rFonts w:hint="eastAsia" w:eastAsia="仿宋_GB2312"/>
          <w:sz w:val="32"/>
          <w:szCs w:val="32"/>
        </w:rPr>
        <w:t>%，主要原因是因2023年人员调出行政单位医疗减少</w:t>
      </w:r>
      <w:r>
        <w:rPr>
          <w:rFonts w:hint="eastAsia" w:ascii="仿宋_GB2312" w:eastAsia="仿宋_GB2312"/>
          <w:sz w:val="32"/>
          <w:szCs w:val="32"/>
        </w:rPr>
        <w:t>。</w:t>
      </w:r>
    </w:p>
    <w:p>
      <w:pPr>
        <w:ind w:firstLine="640" w:firstLineChars="200"/>
        <w:rPr>
          <w:rFonts w:eastAsia="仿宋_GB2312"/>
          <w:sz w:val="32"/>
          <w:szCs w:val="32"/>
          <w:lang w:val="zh-CN"/>
        </w:rPr>
      </w:pPr>
      <w:r>
        <w:rPr>
          <w:rFonts w:hint="eastAsia" w:eastAsia="仿宋_GB2312"/>
          <w:sz w:val="32"/>
          <w:szCs w:val="32"/>
        </w:rPr>
        <w:t>13.教育支出（类）进修及培训（款）培训支出（项）:支出决算数为8.47万元，比上年决算增加3.85万元，增长</w:t>
      </w:r>
      <w:r>
        <w:rPr>
          <w:rFonts w:hint="eastAsia" w:eastAsia="仿宋_GB2312"/>
          <w:sz w:val="32"/>
          <w:szCs w:val="32"/>
          <w:lang w:val="en-US" w:eastAsia="zh-CN"/>
        </w:rPr>
        <w:t>83.33</w:t>
      </w:r>
      <w:r>
        <w:rPr>
          <w:rFonts w:hint="eastAsia" w:eastAsia="仿宋_GB2312"/>
          <w:sz w:val="32"/>
          <w:szCs w:val="32"/>
        </w:rPr>
        <w:t>%，主要原因是：</w:t>
      </w:r>
      <w:r>
        <w:rPr>
          <w:rFonts w:hint="eastAsia" w:eastAsia="仿宋_GB2312"/>
          <w:sz w:val="32"/>
          <w:szCs w:val="32"/>
          <w:lang w:val="zh-CN"/>
        </w:rPr>
        <w:t>单位职工培训次数增加，导致培训费相应增加。</w:t>
      </w:r>
    </w:p>
    <w:p>
      <w:pPr>
        <w:ind w:firstLine="640" w:firstLineChars="200"/>
        <w:rPr>
          <w:rFonts w:eastAsia="仿宋_GB2312"/>
          <w:sz w:val="32"/>
          <w:szCs w:val="32"/>
          <w:lang w:val="zh-CN"/>
        </w:rPr>
      </w:pPr>
      <w:r>
        <w:rPr>
          <w:rFonts w:hint="eastAsia" w:eastAsia="仿宋_GB2312"/>
          <w:sz w:val="32"/>
          <w:szCs w:val="32"/>
        </w:rPr>
        <w:t>14.卫生健康支出（类）公共卫生（款）突发公共卫生事件应急处理（项）:支出决算数为82.14万元，比上年决算增加41.16万元，增长</w:t>
      </w:r>
      <w:r>
        <w:rPr>
          <w:rFonts w:hint="eastAsia" w:eastAsia="仿宋_GB2312"/>
          <w:sz w:val="32"/>
          <w:szCs w:val="32"/>
          <w:lang w:val="en-US" w:eastAsia="zh-CN"/>
        </w:rPr>
        <w:t>100.44</w:t>
      </w:r>
      <w:r>
        <w:rPr>
          <w:rFonts w:hint="eastAsia" w:eastAsia="仿宋_GB2312"/>
          <w:sz w:val="32"/>
          <w:szCs w:val="32"/>
        </w:rPr>
        <w:t>%，主要原因是：本年</w:t>
      </w:r>
      <w:r>
        <w:rPr>
          <w:rFonts w:hint="eastAsia" w:eastAsia="仿宋_GB2312"/>
          <w:sz w:val="32"/>
          <w:szCs w:val="32"/>
          <w:lang w:val="zh-CN"/>
        </w:rPr>
        <w:t>预算安排上户镇疫情隔离伙食补助。</w:t>
      </w:r>
    </w:p>
    <w:p>
      <w:pPr>
        <w:ind w:firstLine="640" w:firstLineChars="200"/>
        <w:rPr>
          <w:rFonts w:eastAsia="仿宋_GB2312"/>
          <w:sz w:val="32"/>
          <w:szCs w:val="32"/>
          <w:lang w:val="zh-CN"/>
        </w:rPr>
      </w:pPr>
      <w:r>
        <w:rPr>
          <w:rFonts w:hint="eastAsia" w:eastAsia="仿宋_GB2312"/>
          <w:sz w:val="32"/>
          <w:szCs w:val="32"/>
        </w:rPr>
        <w:t>15.卫生健康支出（类）行政事业单位医疗（款）公务员医疗补助（项）:支出决算数为8.97万元，比上年决算减少0.33万元，下降3.56%，主要原因是：</w:t>
      </w:r>
      <w:r>
        <w:rPr>
          <w:rFonts w:hint="eastAsia" w:ascii="仿宋_GB2312" w:eastAsia="仿宋_GB2312"/>
          <w:sz w:val="32"/>
          <w:szCs w:val="32"/>
        </w:rPr>
        <w:t>2023年我部门在职在编减少人员及科目调整原因导致公务员医疗补助减少。</w:t>
      </w:r>
    </w:p>
    <w:p>
      <w:pPr>
        <w:ind w:firstLine="640" w:firstLineChars="200"/>
        <w:rPr>
          <w:rFonts w:eastAsia="仿宋_GB2312"/>
          <w:sz w:val="32"/>
          <w:szCs w:val="32"/>
          <w:lang w:val="zh-CN"/>
        </w:rPr>
      </w:pPr>
      <w:r>
        <w:rPr>
          <w:rFonts w:hint="eastAsia" w:eastAsia="仿宋_GB2312"/>
          <w:sz w:val="32"/>
          <w:szCs w:val="32"/>
        </w:rPr>
        <w:t>16.农林水支出（类）巩固脱贫攻坚成果衔接乡村振兴（款）生产发展（项）:支出决算数为952.00万元，比上年决算增加952.00万元，增长100%，主要原因是：</w:t>
      </w:r>
      <w:r>
        <w:rPr>
          <w:rFonts w:hint="eastAsia" w:eastAsia="仿宋_GB2312"/>
          <w:sz w:val="32"/>
          <w:szCs w:val="32"/>
          <w:lang w:val="zh-CN"/>
        </w:rPr>
        <w:t>增加农贸市场建设项目。</w:t>
      </w:r>
    </w:p>
    <w:p>
      <w:pPr>
        <w:ind w:firstLine="640" w:firstLineChars="200"/>
        <w:rPr>
          <w:rFonts w:eastAsia="仿宋_GB2312"/>
          <w:sz w:val="32"/>
          <w:szCs w:val="32"/>
          <w:lang w:val="zh-CN"/>
        </w:rPr>
      </w:pPr>
      <w:r>
        <w:rPr>
          <w:rFonts w:hint="eastAsia" w:eastAsia="仿宋_GB2312"/>
          <w:sz w:val="32"/>
          <w:szCs w:val="32"/>
        </w:rPr>
        <w:t>17.农林水支出（类）目标价格补贴（款）棉花目标价格补贴（项）:支出决算数为1,498.93万元，比上年决算增加1,498.93万元，增长100%，主要原因是：2023年新增农林水支出（类）目标价格补贴</w:t>
      </w:r>
      <w:r>
        <w:rPr>
          <w:rFonts w:hint="eastAsia" w:ascii="仿宋_GB2312" w:eastAsia="仿宋_GB2312"/>
          <w:sz w:val="32"/>
          <w:szCs w:val="32"/>
        </w:rPr>
        <w:t xml:space="preserve">（棉花目标价格改革补贴资金）。     </w:t>
      </w:r>
      <w:r>
        <w:rPr>
          <w:rFonts w:hint="eastAsia" w:eastAsia="仿宋_GB2312"/>
          <w:sz w:val="32"/>
          <w:szCs w:val="32"/>
        </w:rPr>
        <w:t>18.农林水支出（类）农村综合改革（款）对村级公益事业建设的补助（项）:支出决算数为24.24万元，比上年决算增加24.24万元，增长100%，主要原因是：2023年财政安排中央美丽乡村建设项目资金（</w:t>
      </w:r>
      <w:r>
        <w:rPr>
          <w:rFonts w:hint="eastAsia" w:eastAsia="仿宋_GB2312"/>
          <w:sz w:val="32"/>
          <w:szCs w:val="32"/>
          <w:lang w:val="zh-CN"/>
        </w:rPr>
        <w:t>大墩子村美丽乡村</w:t>
      </w:r>
      <w:r>
        <w:rPr>
          <w:rFonts w:hint="eastAsia" w:eastAsia="仿宋_GB2312"/>
          <w:sz w:val="32"/>
          <w:szCs w:val="32"/>
        </w:rPr>
        <w:t>）</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19.住房保障支出（类）住房改革支出（款）住房公积金（项）:支出决算数为132.59万元，比上年决算增加41.36万元，增长45.34%，主要原因是：住房公积金基数调整原因比上年决算增加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20.文化旅游体育与传媒支出（类）文化和旅游（款）其他文化和旅游支出（项）:支出决算数为2.43万元，比上年决算减少45.60万元，下降94.95%，主要原因是：2023年公共文化项目减少原因支出决算比例比上年下降</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21.一般公共服务支出（类）统战事务（款）宗教事务（项）:支出决算数为2.93万元，比上年决算增加2.93万元，增长100%，主要原因是：2023年支付管委会专项经费</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22.社会保障和就业支出（类）社会福利（款）其他社会福利支出（项）:支出决算数为0.51万元，比上年决算增加0.51万元，增长100%，主要原因是：</w:t>
      </w:r>
      <w:r>
        <w:rPr>
          <w:rFonts w:hint="eastAsia" w:eastAsia="仿宋_GB2312"/>
          <w:sz w:val="32"/>
          <w:szCs w:val="32"/>
          <w:lang w:val="zh-CN"/>
        </w:rPr>
        <w:t>支付幸福大院人员工资。</w:t>
      </w:r>
    </w:p>
    <w:p>
      <w:pPr>
        <w:ind w:firstLine="640" w:firstLineChars="200"/>
        <w:rPr>
          <w:rFonts w:eastAsia="仿宋_GB2312"/>
          <w:sz w:val="32"/>
          <w:szCs w:val="32"/>
          <w:highlight w:val="yellow"/>
          <w:lang w:val="zh-CN"/>
        </w:rPr>
      </w:pPr>
      <w:r>
        <w:rPr>
          <w:rFonts w:hint="eastAsia" w:eastAsia="仿宋_GB2312"/>
          <w:sz w:val="32"/>
          <w:szCs w:val="32"/>
          <w:highlight w:val="none"/>
        </w:rPr>
        <w:t>23.文化旅游体育与传媒支出（类）其他文化旅游体育与传媒支出（款）其他文化旅游体育与传媒支出（项）:支出决算数为0.18万元，比上年决算减少2.17万元，下降92.32%，主要原因是：</w:t>
      </w:r>
      <w:r>
        <w:rPr>
          <w:rFonts w:hint="eastAsia" w:eastAsia="仿宋_GB2312"/>
          <w:sz w:val="32"/>
          <w:szCs w:val="32"/>
        </w:rPr>
        <w:t>2023年</w:t>
      </w:r>
      <w:r>
        <w:rPr>
          <w:rFonts w:hint="eastAsia" w:eastAsia="仿宋_GB2312"/>
          <w:sz w:val="32"/>
          <w:szCs w:val="32"/>
          <w:lang w:val="en-US" w:eastAsia="zh-CN"/>
        </w:rPr>
        <w:t>该</w:t>
      </w:r>
      <w:r>
        <w:rPr>
          <w:rFonts w:hint="eastAsia" w:eastAsia="仿宋_GB2312"/>
          <w:sz w:val="32"/>
          <w:szCs w:val="32"/>
        </w:rPr>
        <w:t>支出科目调整到主科目</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24.其他支出（类）其他支出（款）其他支出（项）:支出决算数为102.90万元，比上年决算增加61.80万元，增长150.36%，主要原因是：</w:t>
      </w:r>
      <w:r>
        <w:rPr>
          <w:rFonts w:hint="eastAsia" w:ascii="仿宋_GB2312" w:hAnsi="仿宋_GB2312" w:eastAsia="仿宋_GB2312" w:cs="仿宋_GB2312"/>
          <w:kern w:val="0"/>
          <w:sz w:val="32"/>
          <w:szCs w:val="32"/>
        </w:rPr>
        <w:t>增加项目资金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25.一般公共服务支出（类）政府办公厅（室）及相关机构事务（款）其他政府办公厅（室）及相关机构事务支出（项）:支出决算数为37.12万元，比上年决算减少15.49万元，下降29.44%，主要原因是：由于2023年</w:t>
      </w:r>
      <w:r>
        <w:rPr>
          <w:rFonts w:hint="eastAsia" w:ascii="仿宋_GB2312" w:eastAsia="仿宋_GB2312"/>
          <w:sz w:val="32"/>
          <w:szCs w:val="32"/>
        </w:rPr>
        <w:t>退休人员增加及</w:t>
      </w:r>
      <w:r>
        <w:rPr>
          <w:rFonts w:hint="eastAsia" w:eastAsia="仿宋_GB2312"/>
          <w:sz w:val="32"/>
          <w:szCs w:val="32"/>
        </w:rPr>
        <w:t>人员调出原因补比上年减少</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26.国防支出（类）国防动员（款）民兵（项）:支出决算数为0.00万元，比上年决算减少2.20万元，下降</w:t>
      </w:r>
      <w:r>
        <w:rPr>
          <w:rFonts w:hint="eastAsia" w:eastAsia="仿宋_GB2312"/>
          <w:sz w:val="32"/>
          <w:szCs w:val="32"/>
          <w:lang w:val="en-US" w:eastAsia="zh-CN"/>
        </w:rPr>
        <w:t>100.00</w:t>
      </w:r>
      <w:r>
        <w:rPr>
          <w:rFonts w:hint="eastAsia" w:eastAsia="仿宋_GB2312"/>
          <w:sz w:val="32"/>
          <w:szCs w:val="32"/>
        </w:rPr>
        <w:t>%，主要原因是：2023年没有此项目</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27.社会保障和就业支出（类）抚恤（款）死亡抚恤（项）:支出决算数为0.00万元，比上年决算减少21.97万元，下降100%，主要原因是：</w:t>
      </w:r>
      <w:r>
        <w:rPr>
          <w:rFonts w:hint="eastAsia" w:eastAsia="仿宋_GB2312"/>
          <w:sz w:val="32"/>
          <w:szCs w:val="32"/>
          <w:lang w:val="en-US" w:eastAsia="zh-CN"/>
        </w:rPr>
        <w:t>2023年没有退休人员死亡现象</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28.卫生健康支出（类）计划生育事务（款）其他计划生育事务支出（项）:支出决算数为0.00万元，比上年决算减少49.85万元，下降100%，主要原因是：</w:t>
      </w:r>
      <w:r>
        <w:rPr>
          <w:rFonts w:hint="eastAsia" w:eastAsia="仿宋_GB2312"/>
          <w:sz w:val="32"/>
          <w:szCs w:val="32"/>
          <w:lang w:val="zh-CN"/>
        </w:rPr>
        <w:t>预算未安排此项目资金。</w:t>
      </w:r>
    </w:p>
    <w:p>
      <w:pPr>
        <w:ind w:firstLine="640" w:firstLineChars="200"/>
        <w:rPr>
          <w:rFonts w:eastAsia="仿宋_GB2312"/>
          <w:sz w:val="32"/>
          <w:szCs w:val="32"/>
          <w:lang w:val="zh-CN"/>
        </w:rPr>
      </w:pPr>
      <w:r>
        <w:rPr>
          <w:rFonts w:hint="eastAsia" w:eastAsia="仿宋_GB2312"/>
          <w:sz w:val="32"/>
          <w:szCs w:val="32"/>
        </w:rPr>
        <w:t>29.节能环保支出（类）环境保护管理事务（款）其他环境保护管理事务支出（项）:支出决算数为0.00万元，比上年决算减少74.72万元，下降100%，主要原因是：2023年</w:t>
      </w:r>
      <w:r>
        <w:rPr>
          <w:rFonts w:hint="eastAsia" w:eastAsia="仿宋_GB2312"/>
          <w:sz w:val="32"/>
          <w:szCs w:val="32"/>
          <w:lang w:val="en-US" w:eastAsia="zh-CN"/>
        </w:rPr>
        <w:t>该</w:t>
      </w:r>
      <w:r>
        <w:rPr>
          <w:rFonts w:hint="eastAsia" w:eastAsia="仿宋_GB2312"/>
          <w:sz w:val="32"/>
          <w:szCs w:val="32"/>
        </w:rPr>
        <w:t>支出科目调整到主科目</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30.农林水支出（类）农业农村（款）事业运行（项）:支出决算数为0.00万元，比上年决算减少274.19万元，下降100%，主要原因是：2023年农林水支出科目调整到主科目</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2,444.75万元，其中：人员经费2,031.70万元，包括：基本工资、津贴补贴、奖金、机关事业单位基本养老保险缴费、职业年金缴费、职工基本医疗保险缴费、公务员医疗补助缴费、其他社会保障缴费、住房公积金、其他工资福利支出、退休费、生活补助、奖励金、。</w:t>
      </w:r>
    </w:p>
    <w:p>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公用经费413.05万元，包括：办公费、印刷费、水费、电费、邮电费、取暖费、维修（护）费、培训费、劳务费、工会经费、福利费、公务用车运行维护费、办公设备购置。</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“三公”经费支出19.13万元，</w:t>
      </w:r>
      <w:r>
        <w:rPr>
          <w:rFonts w:hint="eastAsia" w:ascii="仿宋_GB2312" w:eastAsia="仿宋_GB2312"/>
          <w:sz w:val="32"/>
          <w:szCs w:val="32"/>
        </w:rPr>
        <w:t>比上年</w:t>
      </w:r>
      <w:r>
        <w:rPr>
          <w:rFonts w:hint="eastAsia" w:ascii="仿宋_GB2312" w:eastAsia="仿宋_GB2312"/>
          <w:sz w:val="32"/>
          <w:szCs w:val="32"/>
          <w:lang w:val="zh-CN"/>
        </w:rPr>
        <w:t>增加7.83万元，增长69.29%，主要原因是：因车辆老化维修次数多因此维修费增加。其中：因公出国（境）费支出0.00万元，占0.00%，比上年增加0.00万元，增长0.00%，主要原因是：</w:t>
      </w:r>
      <w:r>
        <w:rPr>
          <w:rFonts w:hint="eastAsia" w:ascii="仿宋_GB2312" w:eastAsia="仿宋_GB2312"/>
          <w:sz w:val="32"/>
          <w:szCs w:val="32"/>
          <w:lang w:val="en-US" w:eastAsia="zh-CN"/>
        </w:rPr>
        <w:t>我单位</w:t>
      </w:r>
      <w:r>
        <w:rPr>
          <w:rFonts w:hint="eastAsia" w:ascii="仿宋_GB2312" w:eastAsia="仿宋_GB2312"/>
          <w:sz w:val="32"/>
          <w:szCs w:val="32"/>
        </w:rPr>
        <w:t>没有发生业务</w:t>
      </w:r>
      <w:r>
        <w:rPr>
          <w:rFonts w:hint="eastAsia" w:ascii="仿宋_GB2312" w:eastAsia="仿宋_GB2312"/>
          <w:sz w:val="32"/>
          <w:szCs w:val="32"/>
          <w:lang w:val="zh-CN"/>
        </w:rPr>
        <w:t>；公务用车购置及运行维护费支出19.13万元，占100.00%，比上年增加7.83万元，增长69.26%，主要原因是：因车辆老化维修次数多因此维修费增加；公务接待费支出0.00万元，占0.00%，比上年增加0.00万元，增长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公务接待费支出。</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没有发生业务</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公务用车购置及运行维护费19.13万元，其中：公务用车购置费0.00万元，公务用车运行维护费19.13万元。公务用车运行维护费开支包括</w:t>
      </w:r>
      <w:r>
        <w:rPr>
          <w:rFonts w:hint="eastAsia" w:ascii="仿宋_GB2312" w:eastAsia="仿宋_GB2312"/>
          <w:sz w:val="32"/>
          <w:szCs w:val="32"/>
        </w:rPr>
        <w:t>车辆维修，车俩保险，油料费</w:t>
      </w:r>
      <w:r>
        <w:rPr>
          <w:rFonts w:hint="eastAsia" w:ascii="仿宋_GB2312" w:eastAsia="仿宋_GB2312"/>
          <w:sz w:val="32"/>
          <w:szCs w:val="32"/>
          <w:lang w:val="zh-CN"/>
        </w:rPr>
        <w:t>。公务用车购置数0辆，公务用车保有量16辆。国有资产占用情况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16辆，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保有量无差异</w:t>
      </w:r>
      <w:r>
        <w:rPr>
          <w:rFonts w:hint="eastAsia" w:ascii="仿宋_GB2312" w:eastAsia="仿宋_GB2312"/>
          <w:sz w:val="32"/>
          <w:szCs w:val="32"/>
          <w:lang w:val="zh-CN"/>
        </w:rPr>
        <w:t>原因是：</w:t>
      </w:r>
      <w:r>
        <w:rPr>
          <w:rFonts w:hint="eastAsia" w:ascii="仿宋_GB2312" w:eastAsia="仿宋_GB2312"/>
          <w:sz w:val="32"/>
          <w:szCs w:val="32"/>
          <w:lang w:val="en-US" w:eastAsia="zh-CN"/>
        </w:rPr>
        <w:t>车辆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保有量无差异</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没有发生业务</w:t>
      </w:r>
      <w:r>
        <w:rPr>
          <w:rFonts w:hint="eastAsia" w:ascii="仿宋_GB2312" w:eastAsia="仿宋_GB2312"/>
          <w:sz w:val="32"/>
          <w:szCs w:val="32"/>
          <w:lang w:val="zh-CN"/>
        </w:rPr>
        <w:t>。单位全年安排的国内公务接待0批次，0人次。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预算数19.13万元，决算数19.13万元，预决算差异率0.00%，主要原因是：</w:t>
      </w:r>
      <w:r>
        <w:rPr>
          <w:rFonts w:hint="eastAsia" w:ascii="仿宋_GB2312" w:eastAsia="仿宋_GB2312"/>
          <w:sz w:val="32"/>
          <w:szCs w:val="32"/>
        </w:rPr>
        <w:t>预决算一致无差异</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因公出国（境）费</w:t>
      </w:r>
      <w:r>
        <w:rPr>
          <w:rFonts w:hint="eastAsia" w:ascii="仿宋_GB2312" w:eastAsia="仿宋_GB2312"/>
          <w:sz w:val="32"/>
          <w:szCs w:val="32"/>
          <w:lang w:val="en-US" w:eastAsia="zh-CN"/>
        </w:rPr>
        <w:t>支出</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预算数0.00万元，决算数0.00万元，预决算差异率0.00%，主要原因是：没有发生本业务；公务用车运行费</w:t>
      </w:r>
      <w:r>
        <w:rPr>
          <w:rFonts w:hint="eastAsia" w:ascii="仿宋_GB2312" w:eastAsia="仿宋_GB2312"/>
          <w:sz w:val="32"/>
          <w:szCs w:val="32"/>
        </w:rPr>
        <w:t>全年</w:t>
      </w:r>
      <w:r>
        <w:rPr>
          <w:rFonts w:hint="eastAsia" w:ascii="仿宋_GB2312" w:eastAsia="仿宋_GB2312"/>
          <w:sz w:val="32"/>
          <w:szCs w:val="32"/>
          <w:lang w:val="zh-CN"/>
        </w:rPr>
        <w:t>预算数19.13万元，决算数19.13万元，预决算差异率0.00%，主要原因是：</w:t>
      </w:r>
      <w:r>
        <w:rPr>
          <w:rFonts w:hint="eastAsia" w:ascii="仿宋_GB2312" w:eastAsia="仿宋_GB2312"/>
          <w:sz w:val="32"/>
          <w:szCs w:val="32"/>
        </w:rPr>
        <w:t>预决算一致无差异</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公务接待费</w:t>
      </w:r>
      <w:r>
        <w:rPr>
          <w:rFonts w:hint="eastAsia" w:ascii="仿宋_GB2312" w:eastAsia="仿宋_GB2312"/>
          <w:sz w:val="32"/>
          <w:szCs w:val="32"/>
          <w:lang w:val="en-US" w:eastAsia="zh-CN"/>
        </w:rPr>
        <w:t>支出</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eastAsia="仿宋_GB2312"/>
          <w:sz w:val="32"/>
          <w:szCs w:val="32"/>
          <w:lang w:val="zh-CN"/>
        </w:rPr>
      </w:pPr>
      <w:r>
        <w:rPr>
          <w:rFonts w:hint="eastAsia" w:eastAsia="仿宋_GB2312"/>
          <w:sz w:val="32"/>
          <w:szCs w:val="32"/>
          <w:lang w:val="zh-CN"/>
        </w:rPr>
        <w:t>2023年度政府性基金预算</w:t>
      </w:r>
      <w:r>
        <w:rPr>
          <w:rFonts w:hint="eastAsia" w:eastAsia="仿宋_GB2312"/>
          <w:sz w:val="32"/>
          <w:szCs w:val="32"/>
        </w:rPr>
        <w:t>财政拨款</w:t>
      </w:r>
      <w:r>
        <w:rPr>
          <w:rFonts w:hint="eastAsia" w:eastAsia="仿宋_GB2312"/>
          <w:sz w:val="32"/>
          <w:szCs w:val="32"/>
          <w:lang w:val="zh-CN"/>
        </w:rPr>
        <w:t>收入</w:t>
      </w:r>
      <w:r>
        <w:rPr>
          <w:rFonts w:hint="eastAsia" w:eastAsia="仿宋_GB2312"/>
          <w:sz w:val="32"/>
          <w:szCs w:val="32"/>
        </w:rPr>
        <w:t>总计16.99</w:t>
      </w:r>
      <w:r>
        <w:rPr>
          <w:rFonts w:hint="eastAsia" w:eastAsia="仿宋_GB2312"/>
          <w:sz w:val="32"/>
          <w:szCs w:val="32"/>
          <w:lang w:val="zh-CN"/>
        </w:rPr>
        <w:t>万元，</w:t>
      </w:r>
      <w:r>
        <w:rPr>
          <w:rFonts w:hint="eastAsia" w:eastAsia="仿宋_GB2312"/>
          <w:sz w:val="32"/>
          <w:szCs w:val="32"/>
        </w:rPr>
        <w:t>其中：年初结转和结余0.00</w:t>
      </w:r>
      <w:r>
        <w:rPr>
          <w:rFonts w:hint="eastAsia" w:eastAsia="仿宋_GB2312"/>
          <w:sz w:val="32"/>
          <w:szCs w:val="32"/>
          <w:lang w:val="zh-CN"/>
        </w:rPr>
        <w:t>万元，</w:t>
      </w:r>
      <w:r>
        <w:rPr>
          <w:rFonts w:hint="eastAsia" w:eastAsia="仿宋_GB2312"/>
          <w:sz w:val="32"/>
          <w:szCs w:val="32"/>
        </w:rPr>
        <w:t>本年收入16.99</w:t>
      </w:r>
      <w:r>
        <w:rPr>
          <w:rFonts w:hint="eastAsia" w:eastAsia="仿宋_GB2312"/>
          <w:sz w:val="32"/>
          <w:szCs w:val="32"/>
          <w:lang w:val="zh-CN"/>
        </w:rPr>
        <w:t>万元。政府性基金预算财政拨款支出</w:t>
      </w:r>
      <w:r>
        <w:rPr>
          <w:rFonts w:hint="eastAsia" w:eastAsia="仿宋_GB2312"/>
          <w:sz w:val="32"/>
          <w:szCs w:val="32"/>
        </w:rPr>
        <w:t>总计16.99</w:t>
      </w:r>
      <w:r>
        <w:rPr>
          <w:rFonts w:hint="eastAsia" w:eastAsia="仿宋_GB2312"/>
          <w:sz w:val="32"/>
          <w:szCs w:val="32"/>
          <w:lang w:val="zh-CN"/>
        </w:rPr>
        <w:t>万元，</w:t>
      </w:r>
      <w:r>
        <w:rPr>
          <w:rFonts w:hint="eastAsia" w:eastAsia="仿宋_GB2312"/>
          <w:sz w:val="32"/>
          <w:szCs w:val="32"/>
        </w:rPr>
        <w:t>其中：年末结转和结余0.00</w:t>
      </w:r>
      <w:r>
        <w:rPr>
          <w:rFonts w:hint="eastAsia" w:eastAsia="仿宋_GB2312"/>
          <w:sz w:val="32"/>
          <w:szCs w:val="32"/>
          <w:lang w:val="zh-CN"/>
        </w:rPr>
        <w:t>万元，</w:t>
      </w:r>
      <w:r>
        <w:rPr>
          <w:rFonts w:hint="eastAsia" w:eastAsia="仿宋_GB2312"/>
          <w:sz w:val="32"/>
          <w:szCs w:val="32"/>
        </w:rPr>
        <w:t>本年支出16.99</w:t>
      </w:r>
      <w:r>
        <w:rPr>
          <w:rFonts w:hint="eastAsia" w:eastAsia="仿宋_GB2312"/>
          <w:sz w:val="32"/>
          <w:szCs w:val="32"/>
          <w:lang w:val="zh-CN"/>
        </w:rPr>
        <w:t>万元。</w:t>
      </w:r>
    </w:p>
    <w:p>
      <w:pPr>
        <w:ind w:firstLine="640" w:firstLineChars="200"/>
        <w:rPr>
          <w:rFonts w:eastAsia="仿宋_GB2312"/>
          <w:sz w:val="32"/>
          <w:szCs w:val="32"/>
          <w:lang w:val="zh-CN"/>
        </w:rPr>
      </w:pPr>
      <w:r>
        <w:rPr>
          <w:rFonts w:hint="eastAsia" w:eastAsia="仿宋_GB2312"/>
          <w:sz w:val="32"/>
          <w:szCs w:val="32"/>
          <w:lang w:val="zh-CN"/>
        </w:rPr>
        <w:t>政府性基金预算财政拨款</w:t>
      </w:r>
      <w:r>
        <w:rPr>
          <w:rFonts w:hint="eastAsia" w:eastAsia="仿宋_GB2312"/>
          <w:sz w:val="32"/>
          <w:szCs w:val="32"/>
        </w:rPr>
        <w:t>收入支出</w:t>
      </w:r>
      <w:r>
        <w:rPr>
          <w:rFonts w:hint="eastAsia" w:eastAsia="仿宋_GB2312"/>
          <w:sz w:val="32"/>
          <w:szCs w:val="32"/>
          <w:lang w:val="zh-CN"/>
        </w:rPr>
        <w:t>与上年相比，增加16.99万元，增长</w:t>
      </w:r>
      <w:r>
        <w:rPr>
          <w:rFonts w:hint="eastAsia" w:eastAsia="仿宋_GB2312"/>
          <w:sz w:val="32"/>
          <w:szCs w:val="32"/>
        </w:rPr>
        <w:t>10</w:t>
      </w:r>
      <w:r>
        <w:rPr>
          <w:rFonts w:hint="eastAsia" w:eastAsia="仿宋_GB2312"/>
          <w:sz w:val="32"/>
          <w:szCs w:val="32"/>
          <w:lang w:val="zh-CN"/>
        </w:rPr>
        <w:t>0.00%，主要原因是：预算安排春节前农民工工资项目资金。与年初预算相比</w:t>
      </w:r>
      <w:r>
        <w:rPr>
          <w:rFonts w:hint="eastAsia" w:eastAsia="仿宋_GB2312"/>
          <w:sz w:val="32"/>
          <w:szCs w:val="32"/>
        </w:rPr>
        <w:t>,</w:t>
      </w:r>
      <w:r>
        <w:rPr>
          <w:rFonts w:hint="eastAsia" w:eastAsia="仿宋_GB2312"/>
          <w:sz w:val="32"/>
          <w:szCs w:val="32"/>
          <w:lang w:val="zh-CN"/>
        </w:rPr>
        <w:t>年初预算数</w:t>
      </w:r>
      <w:r>
        <w:rPr>
          <w:rFonts w:hint="eastAsia" w:eastAsia="仿宋_GB2312"/>
          <w:sz w:val="32"/>
          <w:szCs w:val="32"/>
        </w:rPr>
        <w:t>0.00</w:t>
      </w:r>
      <w:r>
        <w:rPr>
          <w:rFonts w:hint="eastAsia" w:eastAsia="仿宋_GB2312"/>
          <w:sz w:val="32"/>
          <w:szCs w:val="32"/>
          <w:lang w:val="zh-CN"/>
        </w:rPr>
        <w:t>万元，决算数</w:t>
      </w:r>
      <w:r>
        <w:rPr>
          <w:rFonts w:hint="eastAsia" w:eastAsia="仿宋_GB2312"/>
          <w:sz w:val="30"/>
          <w:szCs w:val="30"/>
        </w:rPr>
        <w:t>16.99</w:t>
      </w:r>
      <w:r>
        <w:rPr>
          <w:rFonts w:hint="eastAsia" w:eastAsia="仿宋_GB2312"/>
          <w:sz w:val="32"/>
          <w:szCs w:val="32"/>
          <w:lang w:val="zh-CN"/>
        </w:rPr>
        <w:t>万元，预决算差异率</w:t>
      </w:r>
      <w:r>
        <w:rPr>
          <w:rFonts w:hint="eastAsia" w:eastAsia="仿宋_GB2312"/>
          <w:sz w:val="32"/>
          <w:szCs w:val="32"/>
        </w:rPr>
        <w:t>10</w:t>
      </w:r>
      <w:r>
        <w:rPr>
          <w:rFonts w:hint="eastAsia" w:eastAsia="仿宋_GB2312"/>
          <w:sz w:val="32"/>
          <w:szCs w:val="32"/>
          <w:lang w:val="zh-CN"/>
        </w:rPr>
        <w:t>0.00%，主要原因是：预算安排春节前农民工工资项目资金。</w:t>
      </w:r>
    </w:p>
    <w:p>
      <w:pPr>
        <w:ind w:firstLine="640" w:firstLineChars="200"/>
        <w:jc w:val="left"/>
        <w:rPr>
          <w:rFonts w:eastAsia="仿宋_GB2312"/>
          <w:sz w:val="32"/>
          <w:szCs w:val="32"/>
        </w:rPr>
      </w:pPr>
      <w:r>
        <w:rPr>
          <w:rFonts w:hint="eastAsia" w:eastAsia="仿宋_GB2312"/>
          <w:sz w:val="32"/>
          <w:szCs w:val="32"/>
          <w:lang w:val="zh-CN"/>
        </w:rPr>
        <w:t>政府性基金预算财政拨款支出16.99万元。</w:t>
      </w:r>
    </w:p>
    <w:p>
      <w:pPr>
        <w:ind w:firstLine="640" w:firstLineChars="200"/>
        <w:jc w:val="left"/>
        <w:rPr>
          <w:rFonts w:eastAsia="仿宋_GB2312"/>
          <w:sz w:val="32"/>
          <w:szCs w:val="32"/>
          <w:lang w:val="zh-CN"/>
        </w:rPr>
      </w:pPr>
      <w:r>
        <w:rPr>
          <w:rFonts w:hint="eastAsia" w:eastAsia="仿宋_GB2312"/>
          <w:sz w:val="32"/>
          <w:szCs w:val="32"/>
          <w:lang w:val="zh-CN"/>
        </w:rPr>
        <w:t>1.城乡社区支出（类）国有土地使用权出让收入安排的支出（款）其他国有土地使用权出让收入安排的支出（项）:支出决算数为16.99</w:t>
      </w:r>
      <w:r>
        <w:rPr>
          <w:rFonts w:hint="eastAsia" w:eastAsia="仿宋_GB2312"/>
          <w:sz w:val="32"/>
          <w:szCs w:val="32"/>
        </w:rPr>
        <w:t>万元</w:t>
      </w:r>
      <w:r>
        <w:rPr>
          <w:rFonts w:hint="eastAsia" w:eastAsia="仿宋_GB2312"/>
          <w:sz w:val="32"/>
          <w:szCs w:val="32"/>
          <w:lang w:val="zh-CN"/>
        </w:rPr>
        <w:t>，比上年决算</w:t>
      </w:r>
      <w:r>
        <w:rPr>
          <w:rFonts w:hint="eastAsia" w:eastAsia="仿宋_GB2312"/>
          <w:sz w:val="32"/>
          <w:szCs w:val="32"/>
        </w:rPr>
        <w:t>增加</w:t>
      </w:r>
      <w:r>
        <w:rPr>
          <w:rFonts w:hint="eastAsia" w:eastAsia="仿宋_GB2312"/>
          <w:sz w:val="32"/>
          <w:szCs w:val="32"/>
          <w:lang w:val="zh-CN"/>
        </w:rPr>
        <w:t>16.99</w:t>
      </w:r>
      <w:r>
        <w:rPr>
          <w:rFonts w:hint="eastAsia" w:eastAsia="仿宋_GB2312"/>
          <w:sz w:val="32"/>
          <w:szCs w:val="32"/>
        </w:rPr>
        <w:t>万元</w:t>
      </w:r>
      <w:r>
        <w:rPr>
          <w:rFonts w:hint="eastAsia" w:eastAsia="仿宋_GB2312"/>
          <w:sz w:val="32"/>
          <w:szCs w:val="32"/>
          <w:lang w:val="zh-CN"/>
        </w:rPr>
        <w:t>，</w:t>
      </w:r>
      <w:r>
        <w:rPr>
          <w:rFonts w:hint="eastAsia" w:eastAsia="仿宋_GB2312"/>
          <w:sz w:val="32"/>
          <w:szCs w:val="32"/>
        </w:rPr>
        <w:t>增长</w:t>
      </w:r>
      <w:r>
        <w:rPr>
          <w:rFonts w:hint="eastAsia" w:eastAsia="仿宋_GB2312"/>
          <w:sz w:val="32"/>
          <w:szCs w:val="32"/>
          <w:lang w:val="zh-CN"/>
        </w:rPr>
        <w:t>100%，主要原因是：预算安排春节前农民工工资项目资金。</w:t>
      </w:r>
    </w:p>
    <w:p>
      <w:pPr>
        <w:ind w:firstLine="640" w:firstLineChars="200"/>
        <w:jc w:val="left"/>
        <w:outlineLvl w:val="1"/>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eastAsia="仿宋_GB2312"/>
          <w:sz w:val="32"/>
          <w:szCs w:val="32"/>
          <w:lang w:val="zh-CN"/>
        </w:rPr>
      </w:pPr>
      <w:r>
        <w:rPr>
          <w:rFonts w:hint="eastAsia" w:eastAsia="仿宋_GB2312"/>
          <w:sz w:val="32"/>
          <w:szCs w:val="32"/>
          <w:lang w:val="zh-CN"/>
        </w:rPr>
        <w:t>2023年度国有资本经营预算</w:t>
      </w:r>
      <w:r>
        <w:rPr>
          <w:rFonts w:hint="eastAsia" w:eastAsia="仿宋_GB2312"/>
          <w:sz w:val="32"/>
          <w:szCs w:val="32"/>
        </w:rPr>
        <w:t>财政拨款</w:t>
      </w:r>
      <w:r>
        <w:rPr>
          <w:rFonts w:hint="eastAsia" w:eastAsia="仿宋_GB2312"/>
          <w:sz w:val="32"/>
          <w:szCs w:val="32"/>
          <w:lang w:val="zh-CN"/>
        </w:rPr>
        <w:t>收入</w:t>
      </w:r>
      <w:r>
        <w:rPr>
          <w:rFonts w:hint="eastAsia" w:eastAsia="仿宋_GB2312"/>
          <w:sz w:val="32"/>
          <w:szCs w:val="32"/>
        </w:rPr>
        <w:t>总计0.80</w:t>
      </w:r>
      <w:r>
        <w:rPr>
          <w:rFonts w:hint="eastAsia" w:eastAsia="仿宋_GB2312"/>
          <w:sz w:val="32"/>
          <w:szCs w:val="32"/>
          <w:lang w:val="zh-CN"/>
        </w:rPr>
        <w:t>万元，</w:t>
      </w:r>
      <w:r>
        <w:rPr>
          <w:rFonts w:hint="eastAsia" w:eastAsia="仿宋_GB2312"/>
          <w:sz w:val="32"/>
          <w:szCs w:val="32"/>
        </w:rPr>
        <w:t>其中：年初结转和结余</w:t>
      </w:r>
      <w:r>
        <w:rPr>
          <w:rFonts w:hint="eastAsia" w:eastAsia="仿宋_GB2312"/>
          <w:sz w:val="32"/>
          <w:szCs w:val="32"/>
          <w:lang w:val="zh-CN"/>
        </w:rPr>
        <w:t>0.00万元，</w:t>
      </w:r>
      <w:r>
        <w:rPr>
          <w:rFonts w:hint="eastAsia" w:eastAsia="仿宋_GB2312"/>
          <w:sz w:val="32"/>
          <w:szCs w:val="32"/>
        </w:rPr>
        <w:t>本年收入</w:t>
      </w:r>
      <w:r>
        <w:rPr>
          <w:rFonts w:hint="eastAsia" w:eastAsia="仿宋_GB2312"/>
          <w:sz w:val="32"/>
          <w:szCs w:val="32"/>
          <w:lang w:val="zh-CN"/>
        </w:rPr>
        <w:t>0.80万元。国有资本经营预算财政拨款支出</w:t>
      </w:r>
      <w:r>
        <w:rPr>
          <w:rFonts w:hint="eastAsia" w:eastAsia="仿宋_GB2312"/>
          <w:sz w:val="32"/>
          <w:szCs w:val="32"/>
        </w:rPr>
        <w:t>总计0.80</w:t>
      </w:r>
      <w:r>
        <w:rPr>
          <w:rFonts w:hint="eastAsia" w:eastAsia="仿宋_GB2312"/>
          <w:sz w:val="32"/>
          <w:szCs w:val="32"/>
          <w:lang w:val="zh-CN"/>
        </w:rPr>
        <w:t>万元，</w:t>
      </w:r>
      <w:r>
        <w:rPr>
          <w:rFonts w:hint="eastAsia" w:eastAsia="仿宋_GB2312"/>
          <w:sz w:val="32"/>
          <w:szCs w:val="32"/>
        </w:rPr>
        <w:t>其中：年末结转和结余</w:t>
      </w:r>
      <w:r>
        <w:rPr>
          <w:rFonts w:hint="eastAsia" w:eastAsia="仿宋_GB2312"/>
          <w:sz w:val="32"/>
          <w:szCs w:val="32"/>
          <w:lang w:val="zh-CN"/>
        </w:rPr>
        <w:t>0.00万元，</w:t>
      </w:r>
      <w:r>
        <w:rPr>
          <w:rFonts w:hint="eastAsia" w:eastAsia="仿宋_GB2312"/>
          <w:sz w:val="32"/>
          <w:szCs w:val="32"/>
        </w:rPr>
        <w:t>本年支出</w:t>
      </w:r>
      <w:r>
        <w:rPr>
          <w:rFonts w:hint="eastAsia" w:eastAsia="仿宋_GB2312"/>
          <w:sz w:val="32"/>
          <w:szCs w:val="32"/>
          <w:lang w:val="zh-CN"/>
        </w:rPr>
        <w:t>0.80万元。</w:t>
      </w:r>
    </w:p>
    <w:p>
      <w:pPr>
        <w:ind w:firstLine="640" w:firstLineChars="200"/>
        <w:rPr>
          <w:rFonts w:eastAsia="仿宋_GB2312"/>
          <w:sz w:val="32"/>
          <w:szCs w:val="32"/>
          <w:lang w:val="zh-CN"/>
        </w:rPr>
      </w:pPr>
      <w:r>
        <w:rPr>
          <w:rFonts w:hint="eastAsia" w:eastAsia="仿宋_GB2312"/>
          <w:sz w:val="32"/>
          <w:szCs w:val="32"/>
          <w:lang w:val="zh-CN"/>
        </w:rPr>
        <w:t>国有资本经营预算财政拨款</w:t>
      </w:r>
      <w:r>
        <w:rPr>
          <w:rFonts w:hint="eastAsia" w:eastAsia="仿宋_GB2312"/>
          <w:sz w:val="32"/>
          <w:szCs w:val="32"/>
        </w:rPr>
        <w:t>收入支出</w:t>
      </w:r>
      <w:r>
        <w:rPr>
          <w:rFonts w:hint="eastAsia" w:eastAsia="仿宋_GB2312"/>
          <w:sz w:val="32"/>
          <w:szCs w:val="32"/>
          <w:lang w:val="zh-CN"/>
        </w:rPr>
        <w:t>与上年相比，增加0.80万元，增长100.00%，主要原因是：增加国有企业退休人员经费。与年初预算相比，年初预算数</w:t>
      </w:r>
      <w:r>
        <w:rPr>
          <w:rFonts w:hint="eastAsia" w:eastAsia="仿宋_GB2312"/>
          <w:sz w:val="32"/>
          <w:szCs w:val="32"/>
        </w:rPr>
        <w:t>0.22</w:t>
      </w:r>
      <w:r>
        <w:rPr>
          <w:rFonts w:hint="eastAsia" w:eastAsia="仿宋_GB2312"/>
          <w:sz w:val="32"/>
          <w:szCs w:val="32"/>
          <w:lang w:val="zh-CN"/>
        </w:rPr>
        <w:t>万元，决算数</w:t>
      </w:r>
      <w:r>
        <w:rPr>
          <w:rFonts w:hint="eastAsia" w:eastAsia="仿宋_GB2312"/>
          <w:sz w:val="32"/>
          <w:szCs w:val="32"/>
        </w:rPr>
        <w:t>0.80</w:t>
      </w:r>
      <w:r>
        <w:rPr>
          <w:rFonts w:hint="eastAsia" w:eastAsia="仿宋_GB2312"/>
          <w:sz w:val="32"/>
          <w:szCs w:val="32"/>
          <w:lang w:val="zh-CN"/>
        </w:rPr>
        <w:t>万元，预决算差异率263.64%，主要原因是增加国有企业退休人员经费；</w:t>
      </w:r>
    </w:p>
    <w:p>
      <w:pPr>
        <w:ind w:firstLine="640" w:firstLineChars="200"/>
        <w:jc w:val="left"/>
        <w:rPr>
          <w:rFonts w:ascii="仿宋_GB2312" w:eastAsia="仿宋_GB2312"/>
          <w:sz w:val="32"/>
          <w:szCs w:val="32"/>
        </w:rPr>
      </w:pPr>
      <w:r>
        <w:rPr>
          <w:rFonts w:hint="eastAsia" w:eastAsia="仿宋_GB2312"/>
          <w:sz w:val="32"/>
          <w:szCs w:val="32"/>
          <w:lang w:val="zh-CN"/>
        </w:rPr>
        <w:t>国有资本经营预算财政拨款支出</w:t>
      </w:r>
      <w:r>
        <w:rPr>
          <w:rFonts w:hint="eastAsia" w:eastAsia="仿宋_GB2312"/>
          <w:sz w:val="32"/>
          <w:szCs w:val="32"/>
        </w:rPr>
        <w:t>0.80</w:t>
      </w:r>
      <w:r>
        <w:rPr>
          <w:rFonts w:hint="eastAsia" w:eastAsia="仿宋_GB2312"/>
          <w:sz w:val="32"/>
          <w:szCs w:val="32"/>
          <w:lang w:val="zh-CN"/>
        </w:rPr>
        <w:t>万元。</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1.国有资本经营预算支出（类）解决历史遗留问题及改革成本支出（款）国有企业退休人员社会化管理补助支出（项）:支出决算数为0.80万元，比上年决算</w:t>
      </w:r>
      <w:r>
        <w:rPr>
          <w:rFonts w:hint="eastAsia" w:eastAsia="仿宋_GB2312"/>
          <w:sz w:val="30"/>
          <w:szCs w:val="30"/>
        </w:rPr>
        <w:t>增加</w:t>
      </w:r>
      <w:r>
        <w:rPr>
          <w:rFonts w:hint="eastAsia" w:ascii="仿宋_GB2312" w:hAnsi="仿宋_GB2312" w:eastAsia="仿宋_GB2312" w:cs="仿宋_GB2312"/>
          <w:kern w:val="0"/>
          <w:sz w:val="32"/>
          <w:szCs w:val="32"/>
        </w:rPr>
        <w:t>0.80万元，</w:t>
      </w:r>
      <w:r>
        <w:rPr>
          <w:rFonts w:hint="eastAsia" w:eastAsia="仿宋_GB2312"/>
          <w:sz w:val="30"/>
          <w:szCs w:val="30"/>
        </w:rPr>
        <w:t>增长</w:t>
      </w:r>
      <w:r>
        <w:rPr>
          <w:rFonts w:hint="eastAsia" w:ascii="仿宋_GB2312" w:hAnsi="仿宋_GB2312" w:eastAsia="仿宋_GB2312" w:cs="仿宋_GB2312"/>
          <w:kern w:val="0"/>
          <w:sz w:val="32"/>
          <w:szCs w:val="32"/>
        </w:rPr>
        <w:t>100%，主要原因是：</w:t>
      </w:r>
      <w:r>
        <w:rPr>
          <w:rFonts w:hint="eastAsia" w:eastAsia="仿宋_GB2312"/>
          <w:sz w:val="32"/>
          <w:szCs w:val="32"/>
          <w:lang w:val="zh-CN"/>
        </w:rPr>
        <w:t>增加国有企业退休人员经费。</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lang w:val="zh-CN"/>
        </w:rPr>
      </w:pPr>
      <w:bookmarkStart w:id="24" w:name="_Toc227"/>
      <w:bookmarkStart w:id="25" w:name="_Toc26704"/>
      <w:r>
        <w:rPr>
          <w:rFonts w:hint="eastAsia" w:eastAsia="仿宋_GB2312"/>
          <w:sz w:val="32"/>
          <w:szCs w:val="32"/>
          <w:lang w:val="zh-CN"/>
        </w:rPr>
        <w:t>2023年度</w:t>
      </w:r>
      <w:r>
        <w:rPr>
          <w:rFonts w:hint="eastAsia" w:eastAsia="仿宋_GB2312"/>
          <w:sz w:val="32"/>
          <w:szCs w:val="32"/>
        </w:rPr>
        <w:t>库尔勒市上户镇人民政府（行政单位和参照公务员法管理事业单位）机关运行经费支出413.05万元，比上年增加210.25万元，增长103.68%,主要原因是：日常经费（水，电，邮电费，取暖费），宣传经费，维修费，工会经费相应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2023年度政府采购支出总额23.74万元，其中：政府采购货物支出7.19万元、政府采购工程支出4.80万元、政府采购服务支出11.75万元。</w:t>
      </w:r>
    </w:p>
    <w:p>
      <w:pPr>
        <w:ind w:firstLine="640" w:firstLineChars="200"/>
        <w:jc w:val="left"/>
        <w:rPr>
          <w:rFonts w:eastAsia="仿宋_GB2312"/>
          <w:sz w:val="32"/>
          <w:szCs w:val="32"/>
        </w:rPr>
      </w:pPr>
      <w:r>
        <w:rPr>
          <w:rFonts w:hint="eastAsia" w:eastAsia="仿宋_GB2312"/>
          <w:sz w:val="32"/>
          <w:szCs w:val="32"/>
          <w:lang w:val="zh-CN"/>
        </w:rPr>
        <w:t>授予中小企业合同金额23.74万元，占政府采购支出总额的100.00</w:t>
      </w:r>
      <w:r>
        <w:rPr>
          <w:rFonts w:eastAsia="仿宋_GB2312"/>
          <w:sz w:val="32"/>
          <w:szCs w:val="32"/>
          <w:lang w:val="zh-CN"/>
        </w:rPr>
        <w:t>%</w:t>
      </w:r>
      <w:r>
        <w:rPr>
          <w:rFonts w:hint="eastAsia" w:eastAsia="仿宋_GB2312"/>
          <w:sz w:val="32"/>
          <w:szCs w:val="32"/>
          <w:lang w:val="zh-CN"/>
        </w:rPr>
        <w:t>，其中：授予小微企业合同金额10.66万元，占政府采购支出总额的44.89</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1,506.15</w:t>
      </w:r>
      <w:r>
        <w:rPr>
          <w:rFonts w:hint="eastAsia" w:eastAsia="仿宋_GB2312"/>
          <w:sz w:val="32"/>
          <w:szCs w:val="32"/>
        </w:rPr>
        <w:t>万元，房</w:t>
      </w:r>
      <w:r>
        <w:rPr>
          <w:rFonts w:hint="eastAsia" w:eastAsia="仿宋_GB2312"/>
          <w:sz w:val="32"/>
          <w:szCs w:val="32"/>
          <w:lang w:val="zh-CN"/>
        </w:rPr>
        <w:t>屋25160.0平方米，价值756.29万元。车辆16辆，价值127.27万元，其中：副部（省）级及以上领导用车0辆、主要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用车0辆、机要通信用车0辆、应急保障用车0辆、执法执勤用车7辆、特种专业技术用车0辆、离退休干部</w:t>
      </w:r>
      <w:r>
        <w:rPr>
          <w:rFonts w:hint="eastAsia" w:eastAsia="仿宋_GB2312"/>
          <w:sz w:val="32"/>
          <w:szCs w:val="32"/>
        </w:rPr>
        <w:t>服务</w:t>
      </w:r>
      <w:r>
        <w:rPr>
          <w:rFonts w:hint="eastAsia" w:eastAsia="仿宋_GB2312"/>
          <w:sz w:val="32"/>
          <w:szCs w:val="32"/>
          <w:lang w:val="zh-CN"/>
        </w:rPr>
        <w:t>用车0辆、其他用车9辆，其他用车主要是：</w:t>
      </w:r>
      <w:r>
        <w:rPr>
          <w:rFonts w:hint="eastAsia" w:ascii="仿宋_GB2312" w:eastAsia="仿宋_GB2312"/>
          <w:sz w:val="32"/>
          <w:szCs w:val="32"/>
        </w:rPr>
        <w:t>治安巡逻车辆</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spacing w:line="360" w:lineRule="auto"/>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sz w:val="32"/>
          <w:szCs w:val="32"/>
          <w:lang w:eastAsia="zh-CN"/>
        </w:rPr>
        <w:t>我部门</w:t>
      </w:r>
      <w:r>
        <w:rPr>
          <w:rFonts w:hint="eastAsia" w:ascii="仿宋_GB2312" w:eastAsia="仿宋_GB2312"/>
          <w:sz w:val="32"/>
          <w:szCs w:val="32"/>
        </w:rPr>
        <w:t>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预算总额5123.28万元，实际执行总额5123.28万元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w:t>
      </w:r>
      <w:r>
        <w:rPr>
          <w:rFonts w:hint="eastAsia" w:ascii="仿宋_GB2312" w:eastAsia="仿宋_GB2312"/>
          <w:sz w:val="32"/>
          <w:szCs w:val="32"/>
          <w:lang w:val="en-US" w:eastAsia="zh-CN"/>
        </w:rPr>
        <w:t>12</w:t>
      </w:r>
      <w:r>
        <w:rPr>
          <w:rFonts w:hint="eastAsia" w:ascii="仿宋_GB2312" w:eastAsia="仿宋_GB2312"/>
          <w:sz w:val="32"/>
          <w:szCs w:val="32"/>
        </w:rPr>
        <w:t>个，全年预</w:t>
      </w:r>
      <w:r>
        <w:rPr>
          <w:rFonts w:hint="eastAsia" w:ascii="仿宋_GB2312" w:eastAsia="仿宋_GB2312"/>
          <w:sz w:val="32"/>
          <w:szCs w:val="32"/>
          <w:highlight w:val="none"/>
        </w:rPr>
        <w:t>算数</w:t>
      </w:r>
      <w:r>
        <w:rPr>
          <w:rFonts w:hint="eastAsia" w:ascii="仿宋_GB2312" w:eastAsia="仿宋_GB2312"/>
          <w:sz w:val="32"/>
          <w:szCs w:val="32"/>
          <w:highlight w:val="none"/>
          <w:lang w:val="en-US" w:eastAsia="zh-CN"/>
        </w:rPr>
        <w:t>1933.33</w:t>
      </w:r>
      <w:r>
        <w:rPr>
          <w:rFonts w:hint="eastAsia" w:ascii="仿宋_GB2312" w:eastAsia="仿宋_GB2312"/>
          <w:sz w:val="32"/>
          <w:szCs w:val="32"/>
          <w:highlight w:val="none"/>
        </w:rPr>
        <w:t>万元，全年执行数</w:t>
      </w:r>
      <w:r>
        <w:rPr>
          <w:rFonts w:hint="eastAsia" w:ascii="仿宋_GB2312" w:eastAsia="仿宋_GB2312"/>
          <w:sz w:val="32"/>
          <w:szCs w:val="32"/>
          <w:highlight w:val="none"/>
          <w:lang w:val="en-US" w:eastAsia="zh-CN"/>
        </w:rPr>
        <w:t>1635.59</w:t>
      </w:r>
      <w:r>
        <w:rPr>
          <w:rFonts w:hint="eastAsia" w:ascii="仿宋_GB2312" w:eastAsia="仿宋_GB2312"/>
          <w:sz w:val="32"/>
          <w:szCs w:val="32"/>
        </w:rPr>
        <w:t>万元。预算绩效管理取得的成效：预算绩效管理取得的成效：一是客观资料采集和预测。绩效监控工作组每年于监控节点前10日对资料进行客观、全面地收集，从而真实、准确地反映项目执行的实际情况和取得的结果,对可能达到的结果和完成目标进行科学、合理的预测分析。通过实地调研，开展基础数据收集和社会调查工作，围绕指标展开，确保调研的有效性和数据的真实性。实地调研主要是将项目的资金流和业务流梳理清楚,首先是对资金的收支进行梳理,包括资金来源、预算安排、实际到位和实际使用资金量、资金使用明细等内容。其次是对业务流的梳理。业务流的梳理主要体现在对每一个指标的实际值进行收集,确认好每一个指标对应的实际值之后,将实际值与目标值进行比较,反映跟踪阶段资金管理情况、管项目执行与计划完成的偏差情况、项目效果与预期偏差情况等。二是分析实施偏差和项目完成可能性从经费保障、制度保障、人员保障、硬件条件保障及其他方面进行偏差原因分析，找出实际的、根本的原因。在此基础上,根据前期的实施情况,结合后期的实施计划,对完成可能性进行分析。 三是形成绩效跟踪监控报告为了让财政部门、主管部门和实施单位对绩效跟踪的结果有更全面的了解,我部门通过报告的形式形成绩效跟踪评价的结论。每年两份报告，分别为6月监控报告和年底监控报告。四是结果应用绩效监控能够使财政部门和预算单位动态地了解项目进展，及时掌握项目实施过程与项目目标之间的偏差。对于经各方确认的监控意见或建议,我部门会及时汇报财政部门，协同敦促实施单位抓紧落实整改的措施和时间表;对于偏差较大、项目明显偏离计划轨道的，按照预算管理的相关规定进入预算调整程序。</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发现的问题及原因：</w:t>
      </w:r>
      <w:r>
        <w:rPr>
          <w:rFonts w:hint="eastAsia" w:ascii="仿宋_GB2312" w:hAnsi="宋体"/>
          <w:sz w:val="28"/>
          <w:szCs w:val="28"/>
        </w:rPr>
        <w:t>一</w:t>
      </w:r>
      <w:r>
        <w:rPr>
          <w:rFonts w:hint="eastAsia" w:ascii="仿宋_GB2312" w:eastAsia="仿宋_GB2312"/>
          <w:sz w:val="32"/>
          <w:szCs w:val="32"/>
        </w:rPr>
        <w:t>是管理中我部门存在公用经费资金紧缺的问题，原因为我部门有分校，人员和物资都需要分地安排，因此导致经费短缺的情况。二是实际实施项目时，往往会由于一些客观因素，如拨款时间、相关政府部门的审批环节，其它条件限制等等，导致项目不能按时完成。</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建议申请单位应在预算阶段充分考虑上述因素，预留时间，全面了解流程规则，尽量避免跨期完成项目。三是重点工作办结率也存在加强与上升空间，需要有关部门加强工作效率，在重点工作的完成率和完成度上都需要更加完善。四是对绩效评价认识不足，对整体支出绩效评价业务仍有不熟悉的地方。五是项目资金执行力度需进一步加强。</w:t>
      </w:r>
    </w:p>
    <w:p>
      <w:pPr>
        <w:ind w:firstLine="640" w:firstLineChars="200"/>
        <w:jc w:val="center"/>
        <w:outlineLvl w:val="0"/>
        <w:rPr>
          <w:rFonts w:ascii="仿宋_GB2312" w:eastAsia="仿宋_GB2312"/>
          <w:sz w:val="32"/>
          <w:szCs w:val="32"/>
        </w:rPr>
      </w:pPr>
      <w:r>
        <w:rPr>
          <w:rFonts w:hint="eastAsia" w:ascii="仿宋_GB2312" w:eastAsia="仿宋_GB2312"/>
          <w:sz w:val="32"/>
          <w:szCs w:val="32"/>
        </w:rPr>
        <w:t>下一步改进措施一是加强资金实时监控，严格按照相关要求对相关资金进行使用，确保资金使用及时有效。二是强化我部门对资金绩效实现情况的责任约束，进一步规范资金使用绩效。三是我部门将根据上级要求，严格按照绩效项目预期目标进行支出等事宜，我部门将由专人负责绩效项目，做好各项工作。实时控制项目开展的每个时间节点，完成总目标，保证既定的绩效目标得以实现。四是加强财务管理，严格财务审核。在费用报账支付时，按照预算规定的费用项目和用途进行资金使用审核、列报支付、财务核算，杜绝超支现象的发生。具体项目自评情况附项目支出绩效自评表。</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本部门无其他需说明事项</w:t>
      </w:r>
    </w:p>
    <w:p>
      <w:pPr>
        <w:jc w:val="center"/>
        <w:outlineLvl w:val="0"/>
        <w:rPr>
          <w:rFonts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640" w:firstLineChars="200"/>
        <w:outlineLvl w:val="1"/>
        <w:rPr>
          <w:rFonts w:ascii="黑体" w:hAnsi="黑体" w:eastAsia="黑体" w:cs="宋体"/>
          <w:bCs/>
          <w:kern w:val="0"/>
          <w:sz w:val="32"/>
          <w:szCs w:val="32"/>
        </w:rPr>
      </w:pPr>
    </w:p>
    <w:p>
      <w:pPr>
        <w:ind w:firstLine="420" w:firstLineChars="200"/>
        <w:outlineLvl w:val="1"/>
      </w:pPr>
      <w:r>
        <w:drawing>
          <wp:anchor distT="0" distB="0" distL="114300" distR="114300" simplePos="0" relativeHeight="251659264" behindDoc="0" locked="0" layoutInCell="1" allowOverlap="1">
            <wp:simplePos x="0" y="0"/>
            <wp:positionH relativeFrom="column">
              <wp:posOffset>266700</wp:posOffset>
            </wp:positionH>
            <wp:positionV relativeFrom="paragraph">
              <wp:posOffset>76200</wp:posOffset>
            </wp:positionV>
            <wp:extent cx="5269230" cy="8517890"/>
            <wp:effectExtent l="0" t="0" r="7620" b="1651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5269230" cy="8517890"/>
                    </a:xfrm>
                    <a:prstGeom prst="rect">
                      <a:avLst/>
                    </a:prstGeom>
                    <a:noFill/>
                    <a:ln>
                      <a:noFill/>
                    </a:ln>
                  </pic:spPr>
                </pic:pic>
              </a:graphicData>
            </a:graphic>
          </wp:anchor>
        </w:drawing>
      </w:r>
    </w:p>
    <w:p>
      <w:pPr>
        <w:ind w:firstLine="420" w:firstLineChars="200"/>
        <w:outlineLvl w:val="1"/>
      </w:pPr>
      <w:r>
        <w:drawing>
          <wp:anchor distT="0" distB="0" distL="114300" distR="114300" simplePos="0" relativeHeight="251660288" behindDoc="0" locked="0" layoutInCell="1" allowOverlap="1">
            <wp:simplePos x="0" y="0"/>
            <wp:positionH relativeFrom="column">
              <wp:posOffset>266700</wp:posOffset>
            </wp:positionH>
            <wp:positionV relativeFrom="paragraph">
              <wp:posOffset>36195</wp:posOffset>
            </wp:positionV>
            <wp:extent cx="5270500" cy="8500110"/>
            <wp:effectExtent l="0" t="0" r="6350" b="15240"/>
            <wp:wrapSquare wrapText="bothSides"/>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6"/>
                    <a:stretch>
                      <a:fillRect/>
                    </a:stretch>
                  </pic:blipFill>
                  <pic:spPr>
                    <a:xfrm>
                      <a:off x="0" y="0"/>
                      <a:ext cx="5270500" cy="8500110"/>
                    </a:xfrm>
                    <a:prstGeom prst="rect">
                      <a:avLst/>
                    </a:prstGeom>
                    <a:noFill/>
                    <a:ln>
                      <a:noFill/>
                    </a:ln>
                  </pic:spPr>
                </pic:pic>
              </a:graphicData>
            </a:graphic>
          </wp:anchor>
        </w:drawing>
      </w:r>
    </w:p>
    <w:p>
      <w:pPr>
        <w:ind w:firstLine="420" w:firstLineChars="200"/>
        <w:outlineLvl w:val="1"/>
      </w:pPr>
      <w:r>
        <w:drawing>
          <wp:anchor distT="0" distB="0" distL="114300" distR="114300" simplePos="0" relativeHeight="251661312" behindDoc="0" locked="0" layoutInCell="1" allowOverlap="1">
            <wp:simplePos x="0" y="0"/>
            <wp:positionH relativeFrom="column">
              <wp:posOffset>266700</wp:posOffset>
            </wp:positionH>
            <wp:positionV relativeFrom="paragraph">
              <wp:posOffset>3810</wp:posOffset>
            </wp:positionV>
            <wp:extent cx="5271135" cy="8985885"/>
            <wp:effectExtent l="0" t="0" r="5715" b="5715"/>
            <wp:wrapSquare wrapText="bothSides"/>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7"/>
                    <a:stretch>
                      <a:fillRect/>
                    </a:stretch>
                  </pic:blipFill>
                  <pic:spPr>
                    <a:xfrm>
                      <a:off x="0" y="0"/>
                      <a:ext cx="5271135" cy="8985885"/>
                    </a:xfrm>
                    <a:prstGeom prst="rect">
                      <a:avLst/>
                    </a:prstGeom>
                    <a:noFill/>
                    <a:ln>
                      <a:noFill/>
                    </a:ln>
                  </pic:spPr>
                </pic:pic>
              </a:graphicData>
            </a:graphic>
          </wp:anchor>
        </w:drawing>
      </w:r>
    </w:p>
    <w:p>
      <w:pPr>
        <w:ind w:firstLine="420" w:firstLineChars="200"/>
        <w:outlineLvl w:val="1"/>
      </w:pPr>
      <w:r>
        <w:drawing>
          <wp:anchor distT="0" distB="0" distL="114300" distR="114300" simplePos="0" relativeHeight="251662336" behindDoc="0" locked="0" layoutInCell="1" allowOverlap="1">
            <wp:simplePos x="0" y="0"/>
            <wp:positionH relativeFrom="column">
              <wp:posOffset>266700</wp:posOffset>
            </wp:positionH>
            <wp:positionV relativeFrom="paragraph">
              <wp:posOffset>64770</wp:posOffset>
            </wp:positionV>
            <wp:extent cx="5273040" cy="8599170"/>
            <wp:effectExtent l="0" t="0" r="3810" b="11430"/>
            <wp:wrapSquare wrapText="bothSides"/>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8"/>
                    <a:stretch>
                      <a:fillRect/>
                    </a:stretch>
                  </pic:blipFill>
                  <pic:spPr>
                    <a:xfrm>
                      <a:off x="0" y="0"/>
                      <a:ext cx="5273040" cy="8599170"/>
                    </a:xfrm>
                    <a:prstGeom prst="rect">
                      <a:avLst/>
                    </a:prstGeom>
                    <a:noFill/>
                    <a:ln>
                      <a:noFill/>
                    </a:ln>
                  </pic:spPr>
                </pic:pic>
              </a:graphicData>
            </a:graphic>
          </wp:anchor>
        </w:drawing>
      </w:r>
    </w:p>
    <w:p>
      <w:pPr>
        <w:ind w:firstLine="420" w:firstLineChars="200"/>
        <w:outlineLvl w:val="1"/>
      </w:pPr>
      <w:r>
        <w:drawing>
          <wp:anchor distT="0" distB="0" distL="114300" distR="114300" simplePos="0" relativeHeight="251663360" behindDoc="0" locked="0" layoutInCell="1" allowOverlap="1">
            <wp:simplePos x="0" y="0"/>
            <wp:positionH relativeFrom="column">
              <wp:posOffset>266700</wp:posOffset>
            </wp:positionH>
            <wp:positionV relativeFrom="paragraph">
              <wp:posOffset>55245</wp:posOffset>
            </wp:positionV>
            <wp:extent cx="5273040" cy="8889365"/>
            <wp:effectExtent l="0" t="0" r="3810" b="6985"/>
            <wp:wrapSquare wrapText="bothSides"/>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9"/>
                    <a:stretch>
                      <a:fillRect/>
                    </a:stretch>
                  </pic:blipFill>
                  <pic:spPr>
                    <a:xfrm>
                      <a:off x="0" y="0"/>
                      <a:ext cx="5273040" cy="8889365"/>
                    </a:xfrm>
                    <a:prstGeom prst="rect">
                      <a:avLst/>
                    </a:prstGeom>
                    <a:noFill/>
                    <a:ln>
                      <a:noFill/>
                    </a:ln>
                  </pic:spPr>
                </pic:pic>
              </a:graphicData>
            </a:graphic>
          </wp:anchor>
        </w:drawing>
      </w:r>
    </w:p>
    <w:p>
      <w:pPr>
        <w:ind w:firstLine="420" w:firstLineChars="200"/>
        <w:outlineLvl w:val="1"/>
      </w:pPr>
      <w:r>
        <w:drawing>
          <wp:anchor distT="0" distB="0" distL="114300" distR="114300" simplePos="0" relativeHeight="251664384" behindDoc="0" locked="0" layoutInCell="1" allowOverlap="1">
            <wp:simplePos x="0" y="0"/>
            <wp:positionH relativeFrom="column">
              <wp:posOffset>266700</wp:posOffset>
            </wp:positionH>
            <wp:positionV relativeFrom="paragraph">
              <wp:posOffset>80010</wp:posOffset>
            </wp:positionV>
            <wp:extent cx="5267960" cy="8728075"/>
            <wp:effectExtent l="0" t="0" r="8890" b="15875"/>
            <wp:wrapSquare wrapText="bothSides"/>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0"/>
                    <a:stretch>
                      <a:fillRect/>
                    </a:stretch>
                  </pic:blipFill>
                  <pic:spPr>
                    <a:xfrm>
                      <a:off x="0" y="0"/>
                      <a:ext cx="5267960" cy="8728075"/>
                    </a:xfrm>
                    <a:prstGeom prst="rect">
                      <a:avLst/>
                    </a:prstGeom>
                    <a:noFill/>
                    <a:ln>
                      <a:noFill/>
                    </a:ln>
                  </pic:spPr>
                </pic:pic>
              </a:graphicData>
            </a:graphic>
          </wp:anchor>
        </w:drawing>
      </w:r>
    </w:p>
    <w:p>
      <w:pPr>
        <w:ind w:firstLine="420" w:firstLineChars="200"/>
        <w:outlineLvl w:val="1"/>
      </w:pPr>
      <w:r>
        <w:drawing>
          <wp:anchor distT="0" distB="0" distL="114300" distR="114300" simplePos="0" relativeHeight="251665408" behindDoc="0" locked="0" layoutInCell="1" allowOverlap="1">
            <wp:simplePos x="0" y="0"/>
            <wp:positionH relativeFrom="column">
              <wp:posOffset>266700</wp:posOffset>
            </wp:positionH>
            <wp:positionV relativeFrom="paragraph">
              <wp:posOffset>9525</wp:posOffset>
            </wp:positionV>
            <wp:extent cx="5268595" cy="2877820"/>
            <wp:effectExtent l="0" t="0" r="8255" b="17780"/>
            <wp:wrapSquare wrapText="bothSides"/>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1"/>
                    <a:stretch>
                      <a:fillRect/>
                    </a:stretch>
                  </pic:blipFill>
                  <pic:spPr>
                    <a:xfrm>
                      <a:off x="0" y="0"/>
                      <a:ext cx="5268595" cy="2877820"/>
                    </a:xfrm>
                    <a:prstGeom prst="rect">
                      <a:avLst/>
                    </a:prstGeom>
                    <a:noFill/>
                    <a:ln>
                      <a:noFill/>
                    </a:ln>
                  </pic:spPr>
                </pic:pic>
              </a:graphicData>
            </a:graphic>
          </wp:anchor>
        </w:drawing>
      </w: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r>
        <w:drawing>
          <wp:anchor distT="0" distB="0" distL="114300" distR="114300" simplePos="0" relativeHeight="251666432" behindDoc="0" locked="0" layoutInCell="1" allowOverlap="1">
            <wp:simplePos x="0" y="0"/>
            <wp:positionH relativeFrom="column">
              <wp:posOffset>190500</wp:posOffset>
            </wp:positionH>
            <wp:positionV relativeFrom="paragraph">
              <wp:posOffset>160020</wp:posOffset>
            </wp:positionV>
            <wp:extent cx="5267960" cy="3309620"/>
            <wp:effectExtent l="0" t="0" r="8890" b="5080"/>
            <wp:wrapSquare wrapText="bothSides"/>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2"/>
                    <a:stretch>
                      <a:fillRect/>
                    </a:stretch>
                  </pic:blipFill>
                  <pic:spPr>
                    <a:xfrm>
                      <a:off x="0" y="0"/>
                      <a:ext cx="5267960" cy="3309620"/>
                    </a:xfrm>
                    <a:prstGeom prst="rect">
                      <a:avLst/>
                    </a:prstGeom>
                    <a:noFill/>
                    <a:ln>
                      <a:noFill/>
                    </a:ln>
                  </pic:spPr>
                </pic:pic>
              </a:graphicData>
            </a:graphic>
          </wp:anchor>
        </w:drawing>
      </w: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p>
    <w:p>
      <w:pPr>
        <w:ind w:firstLine="420" w:firstLineChars="200"/>
        <w:outlineLvl w:val="1"/>
      </w:pPr>
      <w:bookmarkStart w:id="48" w:name="_GoBack"/>
      <w:bookmarkEnd w:id="48"/>
      <w:r>
        <w:drawing>
          <wp:anchor distT="0" distB="0" distL="114300" distR="114300" simplePos="0" relativeHeight="251667456" behindDoc="0" locked="0" layoutInCell="1" allowOverlap="1">
            <wp:simplePos x="0" y="0"/>
            <wp:positionH relativeFrom="column">
              <wp:posOffset>266700</wp:posOffset>
            </wp:positionH>
            <wp:positionV relativeFrom="paragraph">
              <wp:posOffset>22860</wp:posOffset>
            </wp:positionV>
            <wp:extent cx="5266690" cy="3631565"/>
            <wp:effectExtent l="0" t="0" r="10160" b="6985"/>
            <wp:wrapSquare wrapText="bothSides"/>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3"/>
                    <a:stretch>
                      <a:fillRect/>
                    </a:stretch>
                  </pic:blipFill>
                  <pic:spPr>
                    <a:xfrm>
                      <a:off x="0" y="0"/>
                      <a:ext cx="5266690" cy="3631565"/>
                    </a:xfrm>
                    <a:prstGeom prst="rect">
                      <a:avLst/>
                    </a:prstGeom>
                    <a:noFill/>
                    <a:ln>
                      <a:noFill/>
                    </a:ln>
                  </pic:spPr>
                </pic:pic>
              </a:graphicData>
            </a:graphic>
          </wp:anchor>
        </w:drawing>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path/>
          <v:fill on="f" focussize="0,0"/>
          <v:stroke on="f" joinstyle="miter"/>
          <v:imagedata o:title=""/>
          <o:lock v:ext="edit"/>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t>19</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abstractNum w:abstractNumId="1">
    <w:nsid w:val="69E77EF5"/>
    <w:multiLevelType w:val="multilevel"/>
    <w:tmpl w:val="69E77EF5"/>
    <w:lvl w:ilvl="0" w:tentative="0">
      <w:start w:val="1"/>
      <w:numFmt w:val="chineseCounting"/>
      <w:pStyle w:val="2"/>
      <w:suff w:val="nothing"/>
      <w:lvlText w:val="%1、"/>
      <w:lvlJc w:val="left"/>
      <w:pPr>
        <w:tabs>
          <w:tab w:val="left" w:pos="851"/>
        </w:tabs>
        <w:ind w:left="851" w:firstLine="0"/>
      </w:pPr>
      <w:rPr>
        <w:rFonts w:hint="eastAsia" w:eastAsia="黑体"/>
        <w:sz w:val="32"/>
        <w:lang w:val="en-US"/>
      </w:rPr>
    </w:lvl>
    <w:lvl w:ilvl="1" w:tentative="0">
      <w:start w:val="1"/>
      <w:numFmt w:val="chineseCounting"/>
      <w:suff w:val="nothing"/>
      <w:lvlText w:val="（%2）"/>
      <w:lvlJc w:val="left"/>
      <w:pPr>
        <w:ind w:left="851" w:firstLine="0"/>
      </w:pPr>
      <w:rPr>
        <w:rFonts w:hint="eastAsia"/>
      </w:rPr>
    </w:lvl>
    <w:lvl w:ilvl="2" w:tentative="0">
      <w:start w:val="1"/>
      <w:numFmt w:val="decimal"/>
      <w:suff w:val="nothing"/>
      <w:lvlText w:val="%3．"/>
      <w:lvlJc w:val="left"/>
      <w:pPr>
        <w:ind w:left="851" w:firstLine="400"/>
      </w:pPr>
      <w:rPr>
        <w:rFonts w:hint="eastAsia"/>
      </w:rPr>
    </w:lvl>
    <w:lvl w:ilvl="3" w:tentative="0">
      <w:start w:val="1"/>
      <w:numFmt w:val="decimal"/>
      <w:suff w:val="nothing"/>
      <w:lvlText w:val="（%4）"/>
      <w:lvlJc w:val="left"/>
      <w:pPr>
        <w:ind w:left="851" w:firstLine="402"/>
      </w:pPr>
      <w:rPr>
        <w:rFonts w:hint="eastAsia"/>
      </w:rPr>
    </w:lvl>
    <w:lvl w:ilvl="4" w:tentative="0">
      <w:start w:val="1"/>
      <w:numFmt w:val="decimalEnclosedCircleChinese"/>
      <w:suff w:val="nothing"/>
      <w:lvlText w:val="%5"/>
      <w:lvlJc w:val="left"/>
      <w:pPr>
        <w:ind w:left="851" w:firstLine="402"/>
      </w:pPr>
      <w:rPr>
        <w:rFonts w:hint="eastAsia"/>
      </w:rPr>
    </w:lvl>
    <w:lvl w:ilvl="5" w:tentative="0">
      <w:start w:val="1"/>
      <w:numFmt w:val="decimal"/>
      <w:suff w:val="nothing"/>
      <w:lvlText w:val="%6）"/>
      <w:lvlJc w:val="left"/>
      <w:pPr>
        <w:ind w:left="851" w:firstLine="402"/>
      </w:pPr>
      <w:rPr>
        <w:rFonts w:hint="eastAsia"/>
      </w:rPr>
    </w:lvl>
    <w:lvl w:ilvl="6" w:tentative="0">
      <w:start w:val="1"/>
      <w:numFmt w:val="lowerLetter"/>
      <w:suff w:val="nothing"/>
      <w:lvlText w:val="%7．"/>
      <w:lvlJc w:val="left"/>
      <w:pPr>
        <w:ind w:left="851" w:firstLine="402"/>
      </w:pPr>
      <w:rPr>
        <w:rFonts w:hint="eastAsia"/>
      </w:rPr>
    </w:lvl>
    <w:lvl w:ilvl="7" w:tentative="0">
      <w:start w:val="1"/>
      <w:numFmt w:val="lowerLetter"/>
      <w:suff w:val="nothing"/>
      <w:lvlText w:val="%8）"/>
      <w:lvlJc w:val="left"/>
      <w:pPr>
        <w:ind w:left="851" w:firstLine="402"/>
      </w:pPr>
      <w:rPr>
        <w:rFonts w:hint="eastAsia"/>
      </w:rPr>
    </w:lvl>
    <w:lvl w:ilvl="8" w:tentative="0">
      <w:start w:val="1"/>
      <w:numFmt w:val="lowerRoman"/>
      <w:suff w:val="nothing"/>
      <w:lvlText w:val="%9 "/>
      <w:lvlJc w:val="left"/>
      <w:pPr>
        <w:ind w:left="851"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GZjZDkzNDQ4NTc2YzZkMWRmMjYwMjhkYzI4NjdmYTYifQ=="/>
    <w:docVar w:name="KSO_WPS_MARK_KEY" w:val="41ee2a61-2d54-4f93-83be-afdb9a40d732"/>
  </w:docVars>
  <w:rsids>
    <w:rsidRoot w:val="00172A27"/>
    <w:rsid w:val="00172A27"/>
    <w:rsid w:val="001E44B4"/>
    <w:rsid w:val="00213C59"/>
    <w:rsid w:val="003210CE"/>
    <w:rsid w:val="005306FD"/>
    <w:rsid w:val="00761560"/>
    <w:rsid w:val="00B70D59"/>
    <w:rsid w:val="00F52A8D"/>
    <w:rsid w:val="019404F8"/>
    <w:rsid w:val="02BD3108"/>
    <w:rsid w:val="02F73D26"/>
    <w:rsid w:val="034D4FEF"/>
    <w:rsid w:val="035D1785"/>
    <w:rsid w:val="039F47CE"/>
    <w:rsid w:val="03E05CE8"/>
    <w:rsid w:val="03F973EE"/>
    <w:rsid w:val="04304290"/>
    <w:rsid w:val="043E5B56"/>
    <w:rsid w:val="04441D61"/>
    <w:rsid w:val="046C4C9C"/>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2955B7"/>
    <w:rsid w:val="0E640559"/>
    <w:rsid w:val="0F1113DA"/>
    <w:rsid w:val="0F7335C5"/>
    <w:rsid w:val="0F78534A"/>
    <w:rsid w:val="0F7E7F7C"/>
    <w:rsid w:val="0F89358A"/>
    <w:rsid w:val="0F8C6D51"/>
    <w:rsid w:val="10305890"/>
    <w:rsid w:val="105B0B5E"/>
    <w:rsid w:val="112E58D0"/>
    <w:rsid w:val="11731CAC"/>
    <w:rsid w:val="119500A0"/>
    <w:rsid w:val="11C0733B"/>
    <w:rsid w:val="11D50D17"/>
    <w:rsid w:val="120E0809"/>
    <w:rsid w:val="127F665A"/>
    <w:rsid w:val="12F7068C"/>
    <w:rsid w:val="136D2BB8"/>
    <w:rsid w:val="13E470BD"/>
    <w:rsid w:val="14207DC0"/>
    <w:rsid w:val="14B932DA"/>
    <w:rsid w:val="150A66AF"/>
    <w:rsid w:val="154C1139"/>
    <w:rsid w:val="158C5B77"/>
    <w:rsid w:val="15E4496D"/>
    <w:rsid w:val="160D1149"/>
    <w:rsid w:val="162E0AC3"/>
    <w:rsid w:val="163563C0"/>
    <w:rsid w:val="164315EF"/>
    <w:rsid w:val="16557DFE"/>
    <w:rsid w:val="167268FB"/>
    <w:rsid w:val="167C538B"/>
    <w:rsid w:val="16D50C50"/>
    <w:rsid w:val="16E120E1"/>
    <w:rsid w:val="17385A05"/>
    <w:rsid w:val="173B3901"/>
    <w:rsid w:val="176747F9"/>
    <w:rsid w:val="17954A6E"/>
    <w:rsid w:val="180059E9"/>
    <w:rsid w:val="184510FD"/>
    <w:rsid w:val="18AC64A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5F3574"/>
    <w:rsid w:val="1D7F160A"/>
    <w:rsid w:val="1DAF458D"/>
    <w:rsid w:val="1E086ACE"/>
    <w:rsid w:val="1E62130A"/>
    <w:rsid w:val="1E97358B"/>
    <w:rsid w:val="1EAA4A5F"/>
    <w:rsid w:val="1EE869A7"/>
    <w:rsid w:val="1FA15E62"/>
    <w:rsid w:val="1FED69B6"/>
    <w:rsid w:val="2064678E"/>
    <w:rsid w:val="20DC1AB9"/>
    <w:rsid w:val="20DD6197"/>
    <w:rsid w:val="212631E0"/>
    <w:rsid w:val="21A53757"/>
    <w:rsid w:val="21F5531E"/>
    <w:rsid w:val="221236C6"/>
    <w:rsid w:val="22D7662C"/>
    <w:rsid w:val="23326B7F"/>
    <w:rsid w:val="2380045B"/>
    <w:rsid w:val="23BC04D2"/>
    <w:rsid w:val="23EF1892"/>
    <w:rsid w:val="2483647E"/>
    <w:rsid w:val="24A32D55"/>
    <w:rsid w:val="24A7433C"/>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880D11"/>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0BD2F4A"/>
    <w:rsid w:val="314029C9"/>
    <w:rsid w:val="31C63837"/>
    <w:rsid w:val="31C82E39"/>
    <w:rsid w:val="32601BAD"/>
    <w:rsid w:val="329F6389"/>
    <w:rsid w:val="3389023A"/>
    <w:rsid w:val="33CB74FA"/>
    <w:rsid w:val="343642F2"/>
    <w:rsid w:val="343F3010"/>
    <w:rsid w:val="345D0A00"/>
    <w:rsid w:val="34713BFD"/>
    <w:rsid w:val="34B5186C"/>
    <w:rsid w:val="34C13589"/>
    <w:rsid w:val="353369E3"/>
    <w:rsid w:val="35620FD6"/>
    <w:rsid w:val="35BE44B2"/>
    <w:rsid w:val="35E00D72"/>
    <w:rsid w:val="36965B9D"/>
    <w:rsid w:val="36C549FD"/>
    <w:rsid w:val="377F3076"/>
    <w:rsid w:val="37A755DD"/>
    <w:rsid w:val="37F94FA0"/>
    <w:rsid w:val="380D3381"/>
    <w:rsid w:val="38115B1F"/>
    <w:rsid w:val="385E3AC3"/>
    <w:rsid w:val="387D6B9E"/>
    <w:rsid w:val="38926838"/>
    <w:rsid w:val="38B75FF0"/>
    <w:rsid w:val="38D45016"/>
    <w:rsid w:val="38D90432"/>
    <w:rsid w:val="3914510A"/>
    <w:rsid w:val="3926770B"/>
    <w:rsid w:val="398D3668"/>
    <w:rsid w:val="39DA0497"/>
    <w:rsid w:val="3A034053"/>
    <w:rsid w:val="3A7E20F2"/>
    <w:rsid w:val="3A893816"/>
    <w:rsid w:val="3A893B6D"/>
    <w:rsid w:val="3AD1763A"/>
    <w:rsid w:val="3B6716E3"/>
    <w:rsid w:val="3B6C6B2D"/>
    <w:rsid w:val="3C242659"/>
    <w:rsid w:val="3C96719C"/>
    <w:rsid w:val="3CA72BE8"/>
    <w:rsid w:val="3CF37F8C"/>
    <w:rsid w:val="3D136F63"/>
    <w:rsid w:val="3D137554"/>
    <w:rsid w:val="3D5275AC"/>
    <w:rsid w:val="3DCC2473"/>
    <w:rsid w:val="3DEB0883"/>
    <w:rsid w:val="3E2527BF"/>
    <w:rsid w:val="3E731662"/>
    <w:rsid w:val="3E8168DD"/>
    <w:rsid w:val="3EA7725F"/>
    <w:rsid w:val="3EB03713"/>
    <w:rsid w:val="3EBF1A11"/>
    <w:rsid w:val="3EC52607"/>
    <w:rsid w:val="3EEC6CEF"/>
    <w:rsid w:val="3F0C10F2"/>
    <w:rsid w:val="3F183429"/>
    <w:rsid w:val="3F890995"/>
    <w:rsid w:val="3FB77A1D"/>
    <w:rsid w:val="3FDC3674"/>
    <w:rsid w:val="3FED7F8A"/>
    <w:rsid w:val="40094AEF"/>
    <w:rsid w:val="405470BD"/>
    <w:rsid w:val="40794A29"/>
    <w:rsid w:val="40834692"/>
    <w:rsid w:val="40FB2EE6"/>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1A1C25"/>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392FB7"/>
    <w:rsid w:val="4A7B2875"/>
    <w:rsid w:val="4A934476"/>
    <w:rsid w:val="4A9B1ED5"/>
    <w:rsid w:val="4AAA220A"/>
    <w:rsid w:val="4AE12E67"/>
    <w:rsid w:val="4B4C0111"/>
    <w:rsid w:val="4B8553A9"/>
    <w:rsid w:val="4BDB3730"/>
    <w:rsid w:val="4C200F7A"/>
    <w:rsid w:val="4CEE3180"/>
    <w:rsid w:val="4D0F4AF6"/>
    <w:rsid w:val="4DF94F37"/>
    <w:rsid w:val="4E0A1DD5"/>
    <w:rsid w:val="4E3160E5"/>
    <w:rsid w:val="4E4D37AF"/>
    <w:rsid w:val="4E740A62"/>
    <w:rsid w:val="4E8C6496"/>
    <w:rsid w:val="4EFD18DE"/>
    <w:rsid w:val="4F144236"/>
    <w:rsid w:val="4F663C87"/>
    <w:rsid w:val="4F7E29A8"/>
    <w:rsid w:val="4F950EB1"/>
    <w:rsid w:val="4F9E1FFC"/>
    <w:rsid w:val="50447CC2"/>
    <w:rsid w:val="50487AB0"/>
    <w:rsid w:val="50874A7C"/>
    <w:rsid w:val="50895EE7"/>
    <w:rsid w:val="50921B9D"/>
    <w:rsid w:val="50D16158"/>
    <w:rsid w:val="50DB5F45"/>
    <w:rsid w:val="51025EB1"/>
    <w:rsid w:val="51141503"/>
    <w:rsid w:val="518D0ED5"/>
    <w:rsid w:val="525C687F"/>
    <w:rsid w:val="52F647F7"/>
    <w:rsid w:val="52F92565"/>
    <w:rsid w:val="53D03877"/>
    <w:rsid w:val="53FF2B7C"/>
    <w:rsid w:val="542F73CA"/>
    <w:rsid w:val="5430786D"/>
    <w:rsid w:val="54C811C0"/>
    <w:rsid w:val="556A442D"/>
    <w:rsid w:val="55863F50"/>
    <w:rsid w:val="55DA564E"/>
    <w:rsid w:val="5604127D"/>
    <w:rsid w:val="56166703"/>
    <w:rsid w:val="56510474"/>
    <w:rsid w:val="56847368"/>
    <w:rsid w:val="56861525"/>
    <w:rsid w:val="56A93273"/>
    <w:rsid w:val="56BD550C"/>
    <w:rsid w:val="56E07045"/>
    <w:rsid w:val="56FF28AF"/>
    <w:rsid w:val="574014E1"/>
    <w:rsid w:val="57540E7D"/>
    <w:rsid w:val="577B4878"/>
    <w:rsid w:val="57926973"/>
    <w:rsid w:val="57F97435"/>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A97B29"/>
    <w:rsid w:val="5CBB0CE2"/>
    <w:rsid w:val="5CC17177"/>
    <w:rsid w:val="5CF306BC"/>
    <w:rsid w:val="5D3F3D64"/>
    <w:rsid w:val="5D833043"/>
    <w:rsid w:val="5DD92690"/>
    <w:rsid w:val="5DDB1CFD"/>
    <w:rsid w:val="5E7E6D93"/>
    <w:rsid w:val="5ED44800"/>
    <w:rsid w:val="5EF07EF4"/>
    <w:rsid w:val="5F350BDE"/>
    <w:rsid w:val="5F61632C"/>
    <w:rsid w:val="5FA17648"/>
    <w:rsid w:val="5FE705CB"/>
    <w:rsid w:val="603D5080"/>
    <w:rsid w:val="606257D3"/>
    <w:rsid w:val="60681AA9"/>
    <w:rsid w:val="60AC5E39"/>
    <w:rsid w:val="60D0261B"/>
    <w:rsid w:val="616109D2"/>
    <w:rsid w:val="618E3791"/>
    <w:rsid w:val="61947DCA"/>
    <w:rsid w:val="61A46A97"/>
    <w:rsid w:val="61D1382F"/>
    <w:rsid w:val="61F114A2"/>
    <w:rsid w:val="62512BB4"/>
    <w:rsid w:val="625D7D1A"/>
    <w:rsid w:val="62917095"/>
    <w:rsid w:val="62DD7D21"/>
    <w:rsid w:val="637D586B"/>
    <w:rsid w:val="63A5560B"/>
    <w:rsid w:val="63CB7DC7"/>
    <w:rsid w:val="63E9091F"/>
    <w:rsid w:val="64322AF9"/>
    <w:rsid w:val="64850675"/>
    <w:rsid w:val="64D6010D"/>
    <w:rsid w:val="64D64E2B"/>
    <w:rsid w:val="64D82665"/>
    <w:rsid w:val="64E47C96"/>
    <w:rsid w:val="651E5741"/>
    <w:rsid w:val="658A4877"/>
    <w:rsid w:val="65A00902"/>
    <w:rsid w:val="65AC6EDD"/>
    <w:rsid w:val="65D97752"/>
    <w:rsid w:val="66085536"/>
    <w:rsid w:val="66105BF7"/>
    <w:rsid w:val="66150023"/>
    <w:rsid w:val="6628010D"/>
    <w:rsid w:val="6648238C"/>
    <w:rsid w:val="669B4528"/>
    <w:rsid w:val="66CC12D7"/>
    <w:rsid w:val="670342D9"/>
    <w:rsid w:val="67134CEF"/>
    <w:rsid w:val="671F1ABD"/>
    <w:rsid w:val="67370042"/>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AA3A92"/>
    <w:rsid w:val="727B234E"/>
    <w:rsid w:val="72D068C7"/>
    <w:rsid w:val="72E42ED8"/>
    <w:rsid w:val="735F4CB9"/>
    <w:rsid w:val="73674C62"/>
    <w:rsid w:val="73845865"/>
    <w:rsid w:val="73880040"/>
    <w:rsid w:val="739B6D9E"/>
    <w:rsid w:val="73BC1D76"/>
    <w:rsid w:val="73FB6630"/>
    <w:rsid w:val="7434641A"/>
    <w:rsid w:val="748D790E"/>
    <w:rsid w:val="749820CC"/>
    <w:rsid w:val="74CE04EC"/>
    <w:rsid w:val="74E76DCD"/>
    <w:rsid w:val="751D7C0A"/>
    <w:rsid w:val="75722D56"/>
    <w:rsid w:val="75DB5477"/>
    <w:rsid w:val="75FC6AC3"/>
    <w:rsid w:val="7616619B"/>
    <w:rsid w:val="76660D7C"/>
    <w:rsid w:val="766C3D73"/>
    <w:rsid w:val="766C5968"/>
    <w:rsid w:val="76BE0C8F"/>
    <w:rsid w:val="76CD53B2"/>
    <w:rsid w:val="770719AC"/>
    <w:rsid w:val="772009CF"/>
    <w:rsid w:val="776526CC"/>
    <w:rsid w:val="77A262E1"/>
    <w:rsid w:val="77B13C33"/>
    <w:rsid w:val="77ED6F44"/>
    <w:rsid w:val="77F45548"/>
    <w:rsid w:val="784E7CA6"/>
    <w:rsid w:val="78574801"/>
    <w:rsid w:val="7873527F"/>
    <w:rsid w:val="79096FBC"/>
    <w:rsid w:val="790A6425"/>
    <w:rsid w:val="790E2D96"/>
    <w:rsid w:val="791B54B2"/>
    <w:rsid w:val="795A0A34"/>
    <w:rsid w:val="797339C3"/>
    <w:rsid w:val="79D57D57"/>
    <w:rsid w:val="79F00650"/>
    <w:rsid w:val="7A6242BF"/>
    <w:rsid w:val="7A794513"/>
    <w:rsid w:val="7AE952D2"/>
    <w:rsid w:val="7BD72FEE"/>
    <w:rsid w:val="7BDF310F"/>
    <w:rsid w:val="7C976D69"/>
    <w:rsid w:val="7CD752DA"/>
    <w:rsid w:val="7CDE40AB"/>
    <w:rsid w:val="7CF057E2"/>
    <w:rsid w:val="7D1548B5"/>
    <w:rsid w:val="7DF84014"/>
    <w:rsid w:val="7E207949"/>
    <w:rsid w:val="7E5C0A47"/>
    <w:rsid w:val="7E5F22E5"/>
    <w:rsid w:val="7E670C75"/>
    <w:rsid w:val="7EE24272"/>
    <w:rsid w:val="7EEA6053"/>
    <w:rsid w:val="7F487C04"/>
    <w:rsid w:val="7F5A4613"/>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numPr>
        <w:ilvl w:val="0"/>
        <w:numId w:val="1"/>
      </w:numPr>
      <w:tabs>
        <w:tab w:val="left" w:pos="0"/>
      </w:tabs>
      <w:spacing w:line="576" w:lineRule="auto"/>
      <w:outlineLvl w:val="0"/>
    </w:pPr>
    <w:rPr>
      <w:b/>
      <w:kern w:val="44"/>
      <w:sz w:val="44"/>
    </w:rPr>
  </w:style>
  <w:style w:type="character" w:default="1" w:styleId="11">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jc w:val="left"/>
    </w:pPr>
    <w:rPr>
      <w:kern w:val="0"/>
      <w:sz w:val="24"/>
    </w:rPr>
  </w:style>
  <w:style w:type="character" w:styleId="12">
    <w:name w:val="Strong"/>
    <w:basedOn w:val="11"/>
    <w:qFormat/>
    <w:uiPriority w:val="0"/>
    <w:rPr>
      <w:b/>
    </w:rPr>
  </w:style>
  <w:style w:type="paragraph" w:customStyle="1" w:styleId="13">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4">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5">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31</Pages>
  <Words>9138</Words>
  <Characters>10470</Characters>
  <Lines>19</Lines>
  <Paragraphs>22</Paragraphs>
  <TotalTime>5</TotalTime>
  <ScaleCrop>false</ScaleCrop>
  <LinksUpToDate>false</LinksUpToDate>
  <CharactersWithSpaces>10488</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2024-11-21T08:06:54Z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6689910D7AF24D3E9A9A81C555A28C41_13</vt:lpwstr>
  </property>
</Properties>
</file>