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rPr>
      </w:pPr>
      <w:r>
        <w:rPr>
          <w:rStyle w:val="9"/>
          <w:rFonts w:hint="eastAsia" w:ascii="黑体" w:hAnsi="黑体" w:eastAsia="黑体" w:cs="黑体"/>
          <w:b w:val="0"/>
          <w:bCs/>
          <w:color w:val="auto"/>
          <w:spacing w:val="-4"/>
          <w:sz w:val="32"/>
          <w:szCs w:val="32"/>
          <w:highlight w:val="none"/>
          <w:lang w:val="en-US" w:eastAsia="zh-CN"/>
        </w:rPr>
        <w:t>(一)</w:t>
      </w:r>
      <w:r>
        <w:rPr>
          <w:rStyle w:val="9"/>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keepNext w:val="0"/>
        <w:keepLines w:val="0"/>
        <w:pageBreakBefore w:val="0"/>
        <w:widowControl w:val="0"/>
        <w:kinsoku/>
        <w:wordWrap/>
        <w:overflowPunct/>
        <w:topLinePunct w:val="0"/>
        <w:autoSpaceDE/>
        <w:autoSpaceDN/>
        <w:bidi w:val="0"/>
        <w:adjustRightInd/>
        <w:snapToGrid/>
        <w:ind w:firstLine="620" w:firstLineChars="200"/>
        <w:textAlignment w:val="auto"/>
        <w:outlineLvl w:val="9"/>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rPr>
        <w:t>（一）加强党的建设。落实基层党建工作责任制，加强党员队伍的思想建设、组织建设、作风建设、制度建设和党风廉政建设；做好党员管理、发展工作，改善党员队伍结构。提高党员素质；加强非公有制经济组织和社会组织党建工作，实现党的组织和工作全覆盖；宣传贯彻党的路线方针政策和法律法规，加强党对意识形态和统一战线工作的领导；指导工会、共青团、妇联等群团工作。坚持党管武装的基本原则和制度，协调各方力量，对</w:t>
      </w:r>
      <w:r>
        <w:rPr>
          <w:rFonts w:hint="eastAsia" w:ascii="方正仿宋_GBK" w:hAnsi="方正仿宋_GBK" w:eastAsia="方正仿宋_GBK" w:cs="方正仿宋_GBK"/>
          <w:color w:val="auto"/>
          <w:sz w:val="31"/>
          <w:szCs w:val="31"/>
          <w:highlight w:val="none"/>
          <w:lang w:val="en-US" w:eastAsia="zh-CN"/>
        </w:rPr>
        <w:t>行政区</w:t>
      </w:r>
      <w:r>
        <w:rPr>
          <w:rFonts w:hint="eastAsia" w:ascii="方正仿宋_GBK" w:hAnsi="方正仿宋_GBK" w:eastAsia="方正仿宋_GBK" w:cs="方正仿宋_GBK"/>
          <w:color w:val="auto"/>
          <w:sz w:val="31"/>
          <w:szCs w:val="31"/>
          <w:highlight w:val="none"/>
        </w:rPr>
        <w:t>人民武装工作实行统一管理。</w:t>
      </w:r>
    </w:p>
    <w:p>
      <w:pPr>
        <w:keepNext w:val="0"/>
        <w:keepLines w:val="0"/>
        <w:pageBreakBefore w:val="0"/>
        <w:widowControl w:val="0"/>
        <w:kinsoku/>
        <w:wordWrap/>
        <w:overflowPunct/>
        <w:topLinePunct w:val="0"/>
        <w:autoSpaceDE/>
        <w:autoSpaceDN/>
        <w:bidi w:val="0"/>
        <w:adjustRightInd/>
        <w:snapToGrid/>
        <w:ind w:firstLine="620" w:firstLineChars="200"/>
        <w:textAlignment w:val="auto"/>
        <w:outlineLvl w:val="9"/>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rPr>
        <w:t>（二）统筹区域发展。</w:t>
      </w:r>
      <w:r>
        <w:rPr>
          <w:rFonts w:hint="eastAsia" w:ascii="方正仿宋_GBK" w:hAnsi="方正仿宋_GBK" w:eastAsia="方正仿宋_GBK" w:cs="方正仿宋_GBK"/>
          <w:color w:val="auto"/>
          <w:sz w:val="31"/>
          <w:szCs w:val="31"/>
          <w:highlight w:val="none"/>
          <w:lang w:eastAsia="zh-CN"/>
        </w:rPr>
        <w:t>指导、监督行政区各单位认真执行市委、市人民政府的各项决议、确保市委、市人民政府各项工作总体部署和工作任务的全面落实。</w:t>
      </w:r>
      <w:r>
        <w:rPr>
          <w:rFonts w:hint="eastAsia" w:ascii="方正仿宋_GBK" w:hAnsi="方正仿宋_GBK" w:eastAsia="方正仿宋_GBK" w:cs="方正仿宋_GBK"/>
          <w:color w:val="auto"/>
          <w:sz w:val="31"/>
          <w:szCs w:val="31"/>
          <w:highlight w:val="none"/>
        </w:rPr>
        <w:t>坚持依法行政，推进民主政治，加强基础设施建设；</w:t>
      </w:r>
      <w:r>
        <w:rPr>
          <w:rFonts w:hint="eastAsia" w:ascii="方正仿宋_GBK" w:hAnsi="方正仿宋_GBK" w:eastAsia="方正仿宋_GBK" w:cs="方正仿宋_GBK"/>
          <w:color w:val="auto"/>
          <w:sz w:val="31"/>
          <w:szCs w:val="31"/>
          <w:highlight w:val="none"/>
          <w:lang w:val="en-US" w:eastAsia="zh-CN"/>
        </w:rPr>
        <w:t>制定街道经济发展、社区建设、社区服务等工作规划和年度计划，并组织实施</w:t>
      </w:r>
      <w:r>
        <w:rPr>
          <w:rFonts w:hint="eastAsia" w:ascii="方正仿宋_GBK" w:hAnsi="方正仿宋_GBK" w:eastAsia="方正仿宋_GBK" w:cs="方正仿宋_GBK"/>
          <w:color w:val="auto"/>
          <w:sz w:val="31"/>
          <w:szCs w:val="31"/>
          <w:highlight w:val="none"/>
        </w:rPr>
        <w:t>。</w:t>
      </w:r>
    </w:p>
    <w:p>
      <w:pPr>
        <w:keepNext w:val="0"/>
        <w:keepLines w:val="0"/>
        <w:pageBreakBefore w:val="0"/>
        <w:widowControl w:val="0"/>
        <w:kinsoku/>
        <w:wordWrap/>
        <w:overflowPunct/>
        <w:topLinePunct w:val="0"/>
        <w:autoSpaceDE/>
        <w:autoSpaceDN/>
        <w:bidi w:val="0"/>
        <w:adjustRightInd/>
        <w:snapToGrid/>
        <w:ind w:firstLine="620" w:firstLineChars="200"/>
        <w:textAlignment w:val="auto"/>
        <w:outlineLvl w:val="9"/>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rPr>
        <w:t>（三）组织公共服务。加强公共设施建设，开展就业和社会保障等服务</w:t>
      </w:r>
      <w:r>
        <w:rPr>
          <w:rFonts w:hint="eastAsia" w:ascii="方正仿宋_GBK" w:hAnsi="方正仿宋_GBK" w:eastAsia="方正仿宋_GBK" w:cs="方正仿宋_GBK"/>
          <w:color w:val="auto"/>
          <w:sz w:val="31"/>
          <w:szCs w:val="31"/>
          <w:highlight w:val="none"/>
          <w:lang w:eastAsia="zh-CN"/>
        </w:rPr>
        <w:t>。</w:t>
      </w:r>
    </w:p>
    <w:p>
      <w:pPr>
        <w:keepNext w:val="0"/>
        <w:keepLines w:val="0"/>
        <w:pageBreakBefore w:val="0"/>
        <w:widowControl w:val="0"/>
        <w:kinsoku/>
        <w:wordWrap/>
        <w:overflowPunct/>
        <w:topLinePunct w:val="0"/>
        <w:autoSpaceDE/>
        <w:autoSpaceDN/>
        <w:bidi w:val="0"/>
        <w:adjustRightInd/>
        <w:snapToGrid/>
        <w:ind w:firstLine="620" w:firstLineChars="200"/>
        <w:textAlignment w:val="auto"/>
        <w:outlineLvl w:val="9"/>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rPr>
        <w:t>（四）实施公共管理。推进政务、居务公开，抓好卫生健康、人口计划生育工作，</w:t>
      </w:r>
      <w:r>
        <w:rPr>
          <w:rFonts w:hint="eastAsia" w:ascii="方正仿宋_GBK" w:hAnsi="方正仿宋_GBK" w:eastAsia="方正仿宋_GBK" w:cs="方正仿宋_GBK"/>
          <w:color w:val="auto"/>
          <w:sz w:val="31"/>
          <w:szCs w:val="31"/>
          <w:highlight w:val="none"/>
          <w:lang w:val="en-US" w:eastAsia="zh-CN"/>
        </w:rPr>
        <w:t>实施一票否决制，</w:t>
      </w:r>
      <w:r>
        <w:rPr>
          <w:rFonts w:hint="eastAsia" w:ascii="方正仿宋_GBK" w:hAnsi="方正仿宋_GBK" w:eastAsia="方正仿宋_GBK" w:cs="方正仿宋_GBK"/>
          <w:color w:val="auto"/>
          <w:sz w:val="31"/>
          <w:szCs w:val="31"/>
          <w:highlight w:val="none"/>
        </w:rPr>
        <w:t>保障妇女儿童合法权益；</w:t>
      </w:r>
      <w:r>
        <w:rPr>
          <w:rFonts w:hint="eastAsia" w:ascii="方正仿宋_GBK" w:hAnsi="方正仿宋_GBK" w:eastAsia="方正仿宋_GBK" w:cs="方正仿宋_GBK"/>
          <w:color w:val="auto"/>
          <w:sz w:val="31"/>
          <w:szCs w:val="31"/>
          <w:highlight w:val="none"/>
          <w:lang w:val="en-US" w:eastAsia="zh-CN"/>
        </w:rPr>
        <w:t>开展行政区内的普法教育，完善人民调解组织，为居民提供法律服务；加强居民的文明教育、文化教育，加强流动人口管理，增强居民的文化意识和城市意识。保障残疾人合法权益不受侵犯；负责辖区内统计工作。</w:t>
      </w:r>
    </w:p>
    <w:p>
      <w:pPr>
        <w:keepNext w:val="0"/>
        <w:keepLines w:val="0"/>
        <w:pageBreakBefore w:val="0"/>
        <w:widowControl w:val="0"/>
        <w:kinsoku/>
        <w:wordWrap/>
        <w:overflowPunct/>
        <w:topLinePunct w:val="0"/>
        <w:autoSpaceDE/>
        <w:autoSpaceDN/>
        <w:bidi w:val="0"/>
        <w:adjustRightInd/>
        <w:snapToGrid/>
        <w:ind w:firstLine="620" w:firstLineChars="200"/>
        <w:textAlignment w:val="auto"/>
        <w:outlineLvl w:val="9"/>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rPr>
        <w:t>（五）维护公共安全。承担辖区内社会治安综合治理、信访、平安建设、应急管理、安全生产等有关工作；</w:t>
      </w:r>
      <w:r>
        <w:rPr>
          <w:rFonts w:hint="eastAsia" w:ascii="方正仿宋_GBK" w:hAnsi="方正仿宋_GBK" w:eastAsia="方正仿宋_GBK" w:cs="方正仿宋_GBK"/>
          <w:color w:val="auto"/>
          <w:sz w:val="31"/>
          <w:szCs w:val="31"/>
          <w:highlight w:val="none"/>
          <w:lang w:val="en-US" w:eastAsia="zh-CN"/>
        </w:rPr>
        <w:t>对辖区内各单位综合治理工作实行一票否决权；</w:t>
      </w:r>
      <w:r>
        <w:rPr>
          <w:rFonts w:hint="eastAsia" w:ascii="方正仿宋_GBK" w:hAnsi="方正仿宋_GBK" w:eastAsia="方正仿宋_GBK" w:cs="方正仿宋_GBK"/>
          <w:color w:val="auto"/>
          <w:sz w:val="31"/>
          <w:szCs w:val="31"/>
          <w:highlight w:val="none"/>
        </w:rPr>
        <w:t>强化法制宣传教育、畅通诉求渠道、调解民事纠纷、化解社会矛盾，处理群众性突发事件，</w:t>
      </w:r>
      <w:r>
        <w:rPr>
          <w:rFonts w:hint="eastAsia" w:ascii="方正仿宋_GBK" w:hAnsi="方正仿宋_GBK" w:eastAsia="方正仿宋_GBK" w:cs="方正仿宋_GBK"/>
          <w:color w:val="auto"/>
          <w:sz w:val="31"/>
          <w:szCs w:val="31"/>
          <w:highlight w:val="none"/>
          <w:lang w:val="en-US" w:eastAsia="zh-CN"/>
        </w:rPr>
        <w:t>做好社会安置帮教、社区矫正和特殊群体帮教帮扶，</w:t>
      </w:r>
      <w:r>
        <w:rPr>
          <w:rFonts w:hint="eastAsia" w:ascii="方正仿宋_GBK" w:hAnsi="方正仿宋_GBK" w:eastAsia="方正仿宋_GBK" w:cs="方正仿宋_GBK"/>
          <w:color w:val="auto"/>
          <w:sz w:val="31"/>
          <w:szCs w:val="31"/>
          <w:highlight w:val="none"/>
        </w:rPr>
        <w:t>维护社会秩序和社会稳定；组织抢险救灾，及时上报和处置重大社情、疫情、险情等，保护人民群众的生命财产安全；承担民兵预备役、征兵、退役军人服务、拥军优属工作。</w:t>
      </w:r>
    </w:p>
    <w:p>
      <w:pPr>
        <w:keepNext w:val="0"/>
        <w:keepLines w:val="0"/>
        <w:pageBreakBefore w:val="0"/>
        <w:widowControl w:val="0"/>
        <w:kinsoku/>
        <w:wordWrap/>
        <w:overflowPunct/>
        <w:topLinePunct w:val="0"/>
        <w:autoSpaceDE/>
        <w:autoSpaceDN/>
        <w:bidi w:val="0"/>
        <w:adjustRightInd/>
        <w:snapToGrid/>
        <w:ind w:firstLine="620" w:firstLineChars="200"/>
        <w:textAlignment w:val="auto"/>
        <w:outlineLvl w:val="9"/>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rPr>
        <w:t>（六）监督执法管理。</w:t>
      </w:r>
      <w:r>
        <w:rPr>
          <w:rFonts w:hint="eastAsia" w:ascii="方正仿宋_GBK" w:hAnsi="方正仿宋_GBK" w:eastAsia="方正仿宋_GBK" w:cs="方正仿宋_GBK"/>
          <w:color w:val="auto"/>
          <w:sz w:val="31"/>
          <w:szCs w:val="31"/>
          <w:highlight w:val="none"/>
          <w:lang w:val="en-US" w:eastAsia="zh-CN"/>
        </w:rPr>
        <w:t>协助有关部门加强对行政区内的文化娱乐等场所的管理及监督工作，</w:t>
      </w:r>
      <w:r>
        <w:rPr>
          <w:rFonts w:hint="eastAsia" w:ascii="方正仿宋_GBK" w:hAnsi="方正仿宋_GBK" w:eastAsia="方正仿宋_GBK" w:cs="方正仿宋_GBK"/>
          <w:color w:val="auto"/>
          <w:sz w:val="31"/>
          <w:szCs w:val="31"/>
          <w:highlight w:val="none"/>
        </w:rPr>
        <w:t>对辖区内各类行政执法工作进行统筹协调，</w:t>
      </w:r>
      <w:r>
        <w:rPr>
          <w:rFonts w:hint="eastAsia" w:ascii="方正仿宋_GBK" w:hAnsi="方正仿宋_GBK" w:eastAsia="方正仿宋_GBK" w:cs="方正仿宋_GBK"/>
          <w:color w:val="auto"/>
          <w:sz w:val="31"/>
          <w:szCs w:val="31"/>
          <w:highlight w:val="none"/>
          <w:lang w:val="en-US" w:eastAsia="zh-CN"/>
        </w:rPr>
        <w:t>依法依规行使行政处罚权，</w:t>
      </w:r>
      <w:r>
        <w:rPr>
          <w:rFonts w:hint="eastAsia" w:ascii="方正仿宋_GBK" w:hAnsi="方正仿宋_GBK" w:eastAsia="方正仿宋_GBK" w:cs="方正仿宋_GBK"/>
          <w:color w:val="auto"/>
          <w:sz w:val="31"/>
          <w:szCs w:val="31"/>
          <w:highlight w:val="none"/>
        </w:rPr>
        <w:t>组织开展群众监督和社会监督。</w:t>
      </w:r>
    </w:p>
    <w:p>
      <w:pPr>
        <w:keepNext w:val="0"/>
        <w:keepLines w:val="0"/>
        <w:pageBreakBefore w:val="0"/>
        <w:widowControl w:val="0"/>
        <w:kinsoku/>
        <w:wordWrap/>
        <w:overflowPunct/>
        <w:topLinePunct w:val="0"/>
        <w:autoSpaceDE/>
        <w:autoSpaceDN/>
        <w:bidi w:val="0"/>
        <w:adjustRightInd/>
        <w:snapToGrid/>
        <w:ind w:firstLine="620" w:firstLineChars="200"/>
        <w:textAlignment w:val="auto"/>
        <w:outlineLvl w:val="9"/>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rPr>
        <w:t>（七）动员社会参与。动员辖区内各类单位、社会组织、</w:t>
      </w:r>
      <w:r>
        <w:rPr>
          <w:rFonts w:hint="eastAsia" w:ascii="方正仿宋_GBK" w:hAnsi="方正仿宋_GBK" w:eastAsia="方正仿宋_GBK" w:cs="方正仿宋_GBK"/>
          <w:color w:val="auto"/>
          <w:sz w:val="31"/>
          <w:szCs w:val="31"/>
          <w:highlight w:val="none"/>
          <w:lang w:val="en-US" w:eastAsia="zh-CN"/>
        </w:rPr>
        <w:t>社区</w:t>
      </w:r>
      <w:r>
        <w:rPr>
          <w:rFonts w:hint="eastAsia" w:ascii="方正仿宋_GBK" w:hAnsi="方正仿宋_GBK" w:eastAsia="方正仿宋_GBK" w:cs="方正仿宋_GBK"/>
          <w:color w:val="auto"/>
          <w:sz w:val="31"/>
          <w:szCs w:val="31"/>
          <w:highlight w:val="none"/>
        </w:rPr>
        <w:t>居民等社会力量参与社会治理，为</w:t>
      </w:r>
      <w:r>
        <w:rPr>
          <w:rFonts w:hint="eastAsia" w:ascii="方正仿宋_GBK" w:hAnsi="方正仿宋_GBK" w:eastAsia="方正仿宋_GBK" w:cs="方正仿宋_GBK"/>
          <w:color w:val="auto"/>
          <w:sz w:val="31"/>
          <w:szCs w:val="31"/>
          <w:highlight w:val="none"/>
          <w:lang w:val="en-US" w:eastAsia="zh-CN"/>
        </w:rPr>
        <w:t>城市</w:t>
      </w:r>
      <w:r>
        <w:rPr>
          <w:rFonts w:hint="eastAsia" w:ascii="方正仿宋_GBK" w:hAnsi="方正仿宋_GBK" w:eastAsia="方正仿宋_GBK" w:cs="方正仿宋_GBK"/>
          <w:color w:val="auto"/>
          <w:sz w:val="31"/>
          <w:szCs w:val="31"/>
          <w:highlight w:val="none"/>
        </w:rPr>
        <w:t>发展服务。</w:t>
      </w:r>
    </w:p>
    <w:p>
      <w:pPr>
        <w:keepNext w:val="0"/>
        <w:keepLines w:val="0"/>
        <w:pageBreakBefore w:val="0"/>
        <w:widowControl w:val="0"/>
        <w:kinsoku/>
        <w:wordWrap/>
        <w:overflowPunct/>
        <w:topLinePunct w:val="0"/>
        <w:autoSpaceDE/>
        <w:autoSpaceDN/>
        <w:bidi w:val="0"/>
        <w:adjustRightInd/>
        <w:snapToGrid/>
        <w:ind w:firstLine="620" w:firstLineChars="200"/>
        <w:textAlignment w:val="auto"/>
        <w:outlineLvl w:val="9"/>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rPr>
        <w:t>（八）指导居民委员会建设，健全居民自治平台，组织驻</w:t>
      </w:r>
      <w:r>
        <w:rPr>
          <w:rFonts w:hint="eastAsia" w:ascii="方正仿宋_GBK" w:hAnsi="方正仿宋_GBK" w:eastAsia="方正仿宋_GBK" w:cs="方正仿宋_GBK"/>
          <w:color w:val="auto"/>
          <w:sz w:val="31"/>
          <w:szCs w:val="31"/>
          <w:highlight w:val="none"/>
          <w:lang w:val="en-US" w:eastAsia="zh-CN"/>
        </w:rPr>
        <w:t>街道</w:t>
      </w:r>
      <w:r>
        <w:rPr>
          <w:rFonts w:hint="eastAsia" w:ascii="方正仿宋_GBK" w:hAnsi="方正仿宋_GBK" w:eastAsia="方正仿宋_GBK" w:cs="方正仿宋_GBK"/>
          <w:color w:val="auto"/>
          <w:sz w:val="31"/>
          <w:szCs w:val="31"/>
          <w:highlight w:val="none"/>
        </w:rPr>
        <w:t>单位和居民参与社区建设、管理。</w:t>
      </w:r>
    </w:p>
    <w:p>
      <w:pPr>
        <w:keepNext w:val="0"/>
        <w:keepLines w:val="0"/>
        <w:pageBreakBefore w:val="0"/>
        <w:widowControl w:val="0"/>
        <w:kinsoku/>
        <w:wordWrap/>
        <w:overflowPunct/>
        <w:topLinePunct w:val="0"/>
        <w:autoSpaceDE/>
        <w:autoSpaceDN/>
        <w:bidi w:val="0"/>
        <w:adjustRightInd/>
        <w:snapToGrid/>
        <w:ind w:firstLine="620" w:firstLineChars="200"/>
        <w:textAlignment w:val="auto"/>
        <w:outlineLvl w:val="9"/>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rPr>
        <w:t>（九）按照管理权限，负责机关和事业单位工作人员的教育、培养、选拔</w:t>
      </w: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lang w:val="en-US" w:eastAsia="zh-CN"/>
        </w:rPr>
        <w:t>考核</w:t>
      </w:r>
      <w:r>
        <w:rPr>
          <w:rFonts w:hint="eastAsia" w:ascii="方正仿宋_GBK" w:hAnsi="方正仿宋_GBK" w:eastAsia="方正仿宋_GBK" w:cs="方正仿宋_GBK"/>
          <w:color w:val="auto"/>
          <w:sz w:val="31"/>
          <w:szCs w:val="31"/>
          <w:highlight w:val="none"/>
        </w:rPr>
        <w:t>和监督工作；协助管理好派驻单位工作人员。</w:t>
      </w:r>
    </w:p>
    <w:p>
      <w:pPr>
        <w:keepNext w:val="0"/>
        <w:keepLines w:val="0"/>
        <w:pageBreakBefore w:val="0"/>
        <w:widowControl w:val="0"/>
        <w:kinsoku/>
        <w:wordWrap/>
        <w:overflowPunct/>
        <w:topLinePunct w:val="0"/>
        <w:autoSpaceDE/>
        <w:autoSpaceDN/>
        <w:bidi w:val="0"/>
        <w:adjustRightInd/>
        <w:snapToGrid/>
        <w:ind w:firstLine="620" w:firstLineChars="200"/>
        <w:textAlignment w:val="auto"/>
        <w:outlineLvl w:val="9"/>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rPr>
        <w:t>（十）依法依规承担下放的经济社会管理权限和行政执法事项。</w:t>
      </w:r>
    </w:p>
    <w:p>
      <w:pPr>
        <w:keepNext w:val="0"/>
        <w:keepLines w:val="0"/>
        <w:pageBreakBefore w:val="0"/>
        <w:widowControl w:val="0"/>
        <w:kinsoku/>
        <w:wordWrap/>
        <w:overflowPunct/>
        <w:topLinePunct w:val="0"/>
        <w:autoSpaceDE/>
        <w:autoSpaceDN/>
        <w:bidi w:val="0"/>
        <w:adjustRightInd/>
        <w:snapToGrid/>
        <w:ind w:firstLine="620" w:firstLineChars="200"/>
        <w:textAlignment w:val="auto"/>
        <w:outlineLvl w:val="9"/>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rPr>
        <w:t>（十一）完成</w:t>
      </w:r>
      <w:r>
        <w:rPr>
          <w:rFonts w:hint="eastAsia" w:ascii="方正仿宋_GBK" w:hAnsi="方正仿宋_GBK" w:eastAsia="方正仿宋_GBK" w:cs="方正仿宋_GBK"/>
          <w:color w:val="auto"/>
          <w:sz w:val="31"/>
          <w:szCs w:val="31"/>
          <w:highlight w:val="none"/>
          <w:lang w:val="en-US" w:eastAsia="zh-CN"/>
        </w:rPr>
        <w:t>市委</w:t>
      </w:r>
      <w:r>
        <w:rPr>
          <w:rFonts w:hint="eastAsia" w:ascii="方正仿宋_GBK" w:hAnsi="方正仿宋_GBK" w:eastAsia="方正仿宋_GBK" w:cs="方正仿宋_GBK"/>
          <w:color w:val="auto"/>
          <w:sz w:val="31"/>
          <w:szCs w:val="31"/>
          <w:highlight w:val="none"/>
        </w:rPr>
        <w:t>、</w:t>
      </w:r>
      <w:r>
        <w:rPr>
          <w:rFonts w:hint="eastAsia" w:ascii="方正仿宋_GBK" w:hAnsi="方正仿宋_GBK" w:eastAsia="方正仿宋_GBK" w:cs="方正仿宋_GBK"/>
          <w:color w:val="auto"/>
          <w:sz w:val="31"/>
          <w:szCs w:val="31"/>
          <w:highlight w:val="none"/>
          <w:lang w:val="en-US" w:eastAsia="zh-CN"/>
        </w:rPr>
        <w:t>市</w:t>
      </w:r>
      <w:r>
        <w:rPr>
          <w:rFonts w:hint="eastAsia" w:ascii="方正仿宋_GBK" w:hAnsi="方正仿宋_GBK" w:eastAsia="方正仿宋_GBK" w:cs="方正仿宋_GBK"/>
          <w:color w:val="auto"/>
          <w:sz w:val="31"/>
          <w:szCs w:val="31"/>
          <w:highlight w:val="none"/>
        </w:rPr>
        <w:t>人民政府交办的其他事项。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6"/>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FF0000"/>
          <w:kern w:val="2"/>
          <w:sz w:val="32"/>
          <w:szCs w:val="32"/>
          <w:highlight w:val="none"/>
          <w:lang w:val="en-US" w:eastAsia="zh-CN" w:bidi="ar-SA"/>
        </w:rPr>
        <w:t>丝路街道办事处</w:t>
      </w:r>
      <w:r>
        <w:rPr>
          <w:rFonts w:hint="eastAsia" w:ascii="仿宋" w:hAnsi="仿宋" w:eastAsia="仿宋" w:cs="仿宋"/>
          <w:color w:val="auto"/>
          <w:kern w:val="2"/>
          <w:sz w:val="32"/>
          <w:szCs w:val="32"/>
          <w:highlight w:val="none"/>
          <w:lang w:val="en-US" w:eastAsia="zh-CN" w:bidi="ar-SA"/>
        </w:rPr>
        <w:t>编制数</w:t>
      </w:r>
      <w:r>
        <w:rPr>
          <w:rFonts w:hint="eastAsia" w:ascii="仿宋" w:hAnsi="仿宋" w:eastAsia="仿宋" w:cs="仿宋"/>
          <w:color w:val="FF0000"/>
          <w:kern w:val="2"/>
          <w:sz w:val="32"/>
          <w:szCs w:val="32"/>
          <w:highlight w:val="none"/>
          <w:lang w:val="en-US" w:eastAsia="zh-CN" w:bidi="ar-SA"/>
        </w:rPr>
        <w:t>26</w:t>
      </w:r>
      <w:r>
        <w:rPr>
          <w:rFonts w:hint="eastAsia" w:ascii="仿宋" w:hAnsi="仿宋" w:eastAsia="仿宋" w:cs="仿宋"/>
          <w:color w:val="auto"/>
          <w:kern w:val="2"/>
          <w:sz w:val="32"/>
          <w:szCs w:val="32"/>
          <w:highlight w:val="none"/>
          <w:lang w:val="en-US" w:eastAsia="zh-CN" w:bidi="ar-SA"/>
        </w:rPr>
        <w:t>人，实有人数</w:t>
      </w:r>
      <w:r>
        <w:rPr>
          <w:rFonts w:hint="eastAsia" w:ascii="仿宋" w:hAnsi="仿宋" w:eastAsia="仿宋" w:cs="仿宋"/>
          <w:color w:val="FF0000"/>
          <w:kern w:val="2"/>
          <w:sz w:val="32"/>
          <w:szCs w:val="32"/>
          <w:highlight w:val="none"/>
          <w:lang w:val="en-US" w:eastAsia="zh-CN" w:bidi="ar-SA"/>
        </w:rPr>
        <w:t>35</w:t>
      </w:r>
      <w:r>
        <w:rPr>
          <w:rFonts w:hint="eastAsia" w:ascii="仿宋" w:hAnsi="仿宋" w:eastAsia="仿宋" w:cs="仿宋"/>
          <w:color w:val="auto"/>
          <w:kern w:val="2"/>
          <w:sz w:val="32"/>
          <w:szCs w:val="32"/>
          <w:highlight w:val="none"/>
          <w:lang w:val="en-US" w:eastAsia="zh-CN" w:bidi="ar-SA"/>
        </w:rPr>
        <w:t>人，其中：在职</w:t>
      </w:r>
      <w:r>
        <w:rPr>
          <w:rFonts w:hint="eastAsia" w:ascii="仿宋" w:hAnsi="仿宋" w:eastAsia="仿宋" w:cs="仿宋"/>
          <w:color w:val="FF0000"/>
          <w:kern w:val="2"/>
          <w:sz w:val="32"/>
          <w:szCs w:val="32"/>
          <w:highlight w:val="none"/>
          <w:lang w:val="en-US" w:eastAsia="zh-CN" w:bidi="ar-SA"/>
        </w:rPr>
        <w:t>33</w:t>
      </w:r>
      <w:r>
        <w:rPr>
          <w:rFonts w:hint="eastAsia" w:ascii="仿宋" w:hAnsi="仿宋" w:eastAsia="仿宋" w:cs="仿宋"/>
          <w:color w:val="auto"/>
          <w:kern w:val="2"/>
          <w:sz w:val="32"/>
          <w:szCs w:val="32"/>
          <w:highlight w:val="none"/>
          <w:lang w:val="en-US" w:eastAsia="zh-CN" w:bidi="ar-SA"/>
        </w:rPr>
        <w:t>人；退休</w:t>
      </w:r>
      <w:r>
        <w:rPr>
          <w:rFonts w:hint="eastAsia" w:ascii="仿宋" w:hAnsi="仿宋" w:eastAsia="仿宋" w:cs="仿宋"/>
          <w:color w:val="FF0000"/>
          <w:kern w:val="2"/>
          <w:sz w:val="32"/>
          <w:szCs w:val="32"/>
          <w:highlight w:val="none"/>
          <w:lang w:val="en-US" w:eastAsia="zh-CN" w:bidi="ar-SA"/>
        </w:rPr>
        <w:t>2</w:t>
      </w:r>
      <w:r>
        <w:rPr>
          <w:rFonts w:hint="eastAsia" w:ascii="仿宋" w:hAnsi="仿宋" w:eastAsia="仿宋" w:cs="仿宋"/>
          <w:color w:val="auto"/>
          <w:kern w:val="2"/>
          <w:sz w:val="32"/>
          <w:szCs w:val="32"/>
          <w:highlight w:val="none"/>
          <w:lang w:val="en-US" w:eastAsia="zh-CN" w:bidi="ar-SA"/>
        </w:rPr>
        <w:t>人；离休</w:t>
      </w:r>
      <w:r>
        <w:rPr>
          <w:rFonts w:hint="eastAsia" w:ascii="仿宋" w:hAnsi="仿宋" w:eastAsia="仿宋" w:cs="仿宋"/>
          <w:color w:val="FF0000"/>
          <w:kern w:val="2"/>
          <w:sz w:val="32"/>
          <w:szCs w:val="32"/>
          <w:highlight w:val="none"/>
          <w:lang w:val="en-US" w:eastAsia="zh-CN" w:bidi="ar-SA"/>
        </w:rPr>
        <w:t>0</w:t>
      </w:r>
      <w:r>
        <w:rPr>
          <w:rFonts w:hint="eastAsia" w:ascii="仿宋" w:hAnsi="仿宋" w:eastAsia="仿宋" w:cs="仿宋"/>
          <w:color w:val="auto"/>
          <w:kern w:val="2"/>
          <w:sz w:val="32"/>
          <w:szCs w:val="32"/>
          <w:highlight w:val="none"/>
          <w:lang w:val="en-US" w:eastAsia="zh-CN" w:bidi="ar-SA"/>
        </w:rPr>
        <w:t>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丝路街道在市委、市政府的坚强领导下，全面贯彻习近平新时代中国特色社会主义思想</w:t>
      </w:r>
      <w:bookmarkStart w:id="0" w:name="_GoBack"/>
      <w:bookmarkEnd w:id="0"/>
      <w:r>
        <w:rPr>
          <w:rFonts w:hint="eastAsia" w:ascii="仿宋" w:hAnsi="仿宋" w:eastAsia="仿宋" w:cs="仿宋"/>
          <w:b w:val="0"/>
          <w:bCs/>
          <w:color w:val="auto"/>
          <w:sz w:val="32"/>
          <w:szCs w:val="32"/>
          <w:highlight w:val="none"/>
          <w:lang w:val="en-US" w:eastAsia="zh-CN"/>
        </w:rPr>
        <w:t>和党的二十大、党的十九届历次全会精神，紧紧扭住总目标，全面贯彻以人民为中心的发展思想，不断提高城市基层党建工作质量水平，努力建设和谐宜居、富有活力的现代化城市街道，现将2023年工作计划汇报如下：</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一）科学精准防治，抓好常态疫情防控。坚持“外防输入、内防反弹”策略和“动态清零”总方针，始终绷紧疫情防控这根弦。（二）坚持安全发展，狠抓安全生产责任。把安全生产作为一项长期艰巨的重要任务，警钟长鸣，常抓不懈。（三）聚力改善民生，促进社会事业发展。结合民生与经济发展，统筹多方资源，持续推进民生项目及社会事业发展。（四）着力基层党建，加强基层组织建设。常抓思想建设的“龙头”、稳住基层建设“底盘”、活络队伍建设 “筋脉”，不断提高党组织的创造力、凝聚力和战斗力。（五）突出作风转变，落实党风廉政建设。加强党风廉政建设，强化干部职工作风建设，提升工作效能，努力为街道社区建设提供有力的思想保证和坚实的纪律保障。</w:t>
      </w:r>
    </w:p>
    <w:p>
      <w:pPr>
        <w:pStyle w:val="3"/>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FF0000"/>
          <w:spacing w:val="-4"/>
          <w:sz w:val="32"/>
          <w:szCs w:val="32"/>
          <w:highlight w:val="none"/>
          <w:lang w:val="en-US" w:eastAsia="zh-CN"/>
        </w:rPr>
        <w:t>丝路街道办事处</w:t>
      </w:r>
      <w:r>
        <w:rPr>
          <w:rStyle w:val="9"/>
          <w:rFonts w:hint="eastAsia" w:ascii="仿宋" w:hAnsi="仿宋" w:eastAsia="仿宋" w:cs="仿宋"/>
          <w:b w:val="0"/>
          <w:bCs/>
          <w:color w:val="auto"/>
          <w:spacing w:val="-4"/>
          <w:sz w:val="32"/>
          <w:szCs w:val="32"/>
          <w:highlight w:val="none"/>
          <w:lang w:val="en-US" w:eastAsia="zh-CN"/>
        </w:rPr>
        <w:t>2023年通过本部门预算支出，确保了</w:t>
      </w:r>
      <w:r>
        <w:rPr>
          <w:rStyle w:val="9"/>
          <w:rFonts w:hint="eastAsia" w:ascii="仿宋" w:hAnsi="仿宋" w:eastAsia="仿宋" w:cs="仿宋"/>
          <w:b w:val="0"/>
          <w:bCs/>
          <w:color w:val="FF0000"/>
          <w:spacing w:val="-4"/>
          <w:sz w:val="32"/>
          <w:szCs w:val="32"/>
          <w:highlight w:val="none"/>
          <w:lang w:val="en-US" w:eastAsia="zh-CN"/>
        </w:rPr>
        <w:t>33</w:t>
      </w:r>
      <w:r>
        <w:rPr>
          <w:rStyle w:val="9"/>
          <w:rFonts w:hint="eastAsia" w:ascii="仿宋" w:hAnsi="仿宋" w:eastAsia="仿宋" w:cs="仿宋"/>
          <w:b w:val="0"/>
          <w:bCs/>
          <w:color w:val="auto"/>
          <w:spacing w:val="-4"/>
          <w:sz w:val="32"/>
          <w:szCs w:val="32"/>
          <w:highlight w:val="none"/>
          <w:lang w:val="en-US" w:eastAsia="zh-CN"/>
        </w:rPr>
        <w:t>名在职人员的工资、津贴、补贴、社保、绩效、公积金等</w:t>
      </w:r>
      <w:r>
        <w:rPr>
          <w:rStyle w:val="9"/>
          <w:rFonts w:hint="eastAsia" w:ascii="仿宋" w:hAnsi="仿宋" w:eastAsia="仿宋" w:cs="仿宋"/>
          <w:b w:val="0"/>
          <w:bCs/>
          <w:color w:val="FF0000"/>
          <w:spacing w:val="-4"/>
          <w:sz w:val="32"/>
          <w:szCs w:val="32"/>
          <w:highlight w:val="none"/>
          <w:lang w:val="en-US" w:eastAsia="zh-CN"/>
        </w:rPr>
        <w:t>以及2名离退休人员的工资、医疗费等。</w:t>
      </w:r>
      <w:r>
        <w:rPr>
          <w:rStyle w:val="9"/>
          <w:rFonts w:hint="eastAsia" w:ascii="仿宋" w:hAnsi="仿宋" w:eastAsia="仿宋" w:cs="仿宋"/>
          <w:b w:val="0"/>
          <w:bCs/>
          <w:color w:val="auto"/>
          <w:spacing w:val="-4"/>
          <w:sz w:val="32"/>
          <w:szCs w:val="32"/>
          <w:highlight w:val="none"/>
          <w:lang w:val="en-US" w:eastAsia="zh-CN"/>
        </w:rPr>
        <w:t>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w:t>
      </w:r>
      <w:r>
        <w:rPr>
          <w:rFonts w:hint="eastAsia" w:ascii="仿宋" w:hAnsi="仿宋" w:eastAsia="仿宋" w:cs="仿宋"/>
          <w:color w:val="FF0000"/>
          <w:sz w:val="32"/>
          <w:szCs w:val="32"/>
          <w:highlight w:val="none"/>
          <w:lang w:val="en-US" w:eastAsia="zh-CN"/>
        </w:rPr>
        <w:t>1200.87</w:t>
      </w:r>
      <w:r>
        <w:rPr>
          <w:rFonts w:hint="eastAsia" w:ascii="仿宋" w:hAnsi="仿宋" w:eastAsia="仿宋" w:cs="仿宋"/>
          <w:color w:val="auto"/>
          <w:sz w:val="32"/>
          <w:szCs w:val="32"/>
          <w:highlight w:val="none"/>
          <w:lang w:val="en-US" w:eastAsia="zh-CN"/>
        </w:rPr>
        <w:t>万元，其中:上级安排1.42万元,本级安排</w:t>
      </w:r>
      <w:r>
        <w:rPr>
          <w:rFonts w:hint="eastAsia" w:ascii="仿宋" w:hAnsi="仿宋" w:eastAsia="仿宋" w:cs="仿宋"/>
          <w:color w:val="FF0000"/>
          <w:sz w:val="32"/>
          <w:szCs w:val="32"/>
          <w:highlight w:val="none"/>
          <w:lang w:val="en-US" w:eastAsia="zh-CN"/>
        </w:rPr>
        <w:t>1199.45</w:t>
      </w:r>
      <w:r>
        <w:rPr>
          <w:rFonts w:hint="eastAsia" w:ascii="仿宋" w:hAnsi="仿宋" w:eastAsia="仿宋" w:cs="仿宋"/>
          <w:color w:val="auto"/>
          <w:sz w:val="32"/>
          <w:szCs w:val="32"/>
          <w:highlight w:val="none"/>
          <w:lang w:val="en-US" w:eastAsia="zh-CN"/>
        </w:rPr>
        <w:t>万元，其他资金</w:t>
      </w:r>
      <w:r>
        <w:rPr>
          <w:rFonts w:hint="eastAsia" w:ascii="仿宋" w:hAnsi="仿宋" w:eastAsia="仿宋" w:cs="仿宋"/>
          <w:color w:val="FF0000"/>
          <w:sz w:val="32"/>
          <w:szCs w:val="32"/>
          <w:highlight w:val="none"/>
          <w:lang w:val="en-US" w:eastAsia="zh-CN"/>
        </w:rPr>
        <w:t>0</w:t>
      </w:r>
      <w:r>
        <w:rPr>
          <w:rFonts w:hint="eastAsia" w:ascii="仿宋" w:hAnsi="仿宋" w:eastAsia="仿宋" w:cs="仿宋"/>
          <w:color w:val="auto"/>
          <w:sz w:val="32"/>
          <w:szCs w:val="32"/>
          <w:highlight w:val="none"/>
          <w:lang w:val="en-US" w:eastAsia="zh-CN"/>
        </w:rPr>
        <w:t>万元。</w:t>
      </w:r>
    </w:p>
    <w:p>
      <w:pPr>
        <w:pStyle w:val="3"/>
        <w:keepNext/>
        <w:keepLines/>
        <w:pageBreakBefore w:val="0"/>
        <w:widowControl w:val="0"/>
        <w:kinsoku/>
        <w:wordWrap/>
        <w:overflowPunct/>
        <w:topLinePunct w:val="0"/>
        <w:autoSpaceDE/>
        <w:autoSpaceDN/>
        <w:bidi w:val="0"/>
        <w:adjustRightInd/>
        <w:snapToGrid/>
        <w:ind w:firstLine="616"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spacing w:val="-6"/>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FF0000"/>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w:t>
      </w:r>
      <w:r>
        <w:rPr>
          <w:rFonts w:hint="eastAsia" w:ascii="仿宋" w:hAnsi="仿宋" w:eastAsia="仿宋" w:cs="仿宋"/>
          <w:b w:val="0"/>
          <w:bCs/>
          <w:color w:val="FF0000"/>
          <w:sz w:val="32"/>
          <w:szCs w:val="32"/>
          <w:highlight w:val="none"/>
          <w:lang w:val="en-US" w:eastAsia="zh-CN"/>
        </w:rPr>
        <w:t>1200.87</w:t>
      </w:r>
      <w:r>
        <w:rPr>
          <w:rFonts w:hint="eastAsia" w:ascii="仿宋" w:hAnsi="仿宋" w:eastAsia="仿宋" w:cs="仿宋"/>
          <w:b w:val="0"/>
          <w:bCs/>
          <w:color w:val="auto"/>
          <w:sz w:val="32"/>
          <w:szCs w:val="32"/>
          <w:highlight w:val="none"/>
          <w:lang w:val="en-US" w:eastAsia="zh-CN"/>
        </w:rPr>
        <w:t>万元，年中调整数</w:t>
      </w:r>
      <w:r>
        <w:rPr>
          <w:rFonts w:hint="eastAsia" w:ascii="仿宋" w:hAnsi="仿宋" w:eastAsia="仿宋" w:cs="仿宋"/>
          <w:b w:val="0"/>
          <w:bCs/>
          <w:color w:val="FF0000"/>
          <w:sz w:val="32"/>
          <w:szCs w:val="32"/>
          <w:highlight w:val="none"/>
          <w:lang w:val="en-US" w:eastAsia="zh-CN"/>
        </w:rPr>
        <w:t>+54.2</w:t>
      </w:r>
      <w:r>
        <w:rPr>
          <w:rFonts w:hint="eastAsia" w:ascii="仿宋" w:hAnsi="仿宋" w:eastAsia="仿宋" w:cs="仿宋"/>
          <w:b w:val="0"/>
          <w:bCs/>
          <w:color w:val="auto"/>
          <w:sz w:val="32"/>
          <w:szCs w:val="32"/>
          <w:highlight w:val="none"/>
          <w:lang w:val="en-US" w:eastAsia="zh-CN"/>
        </w:rPr>
        <w:t>万元，调整后全年预算数</w:t>
      </w:r>
      <w:r>
        <w:rPr>
          <w:rFonts w:hint="eastAsia" w:ascii="仿宋" w:hAnsi="仿宋" w:eastAsia="仿宋" w:cs="仿宋"/>
          <w:b w:val="0"/>
          <w:bCs/>
          <w:color w:val="FF0000"/>
          <w:sz w:val="32"/>
          <w:szCs w:val="32"/>
          <w:highlight w:val="none"/>
          <w:lang w:val="en-US" w:eastAsia="zh-CN"/>
        </w:rPr>
        <w:t>1255.07</w:t>
      </w:r>
      <w:r>
        <w:rPr>
          <w:rFonts w:hint="eastAsia" w:ascii="仿宋" w:hAnsi="仿宋" w:eastAsia="仿宋" w:cs="仿宋"/>
          <w:b w:val="0"/>
          <w:bCs/>
          <w:color w:val="auto"/>
          <w:sz w:val="32"/>
          <w:szCs w:val="32"/>
          <w:highlight w:val="none"/>
          <w:lang w:val="en-US" w:eastAsia="zh-CN"/>
        </w:rPr>
        <w:t>万元，预算调整率4.51</w:t>
      </w:r>
      <w:r>
        <w:rPr>
          <w:rFonts w:hint="eastAsia" w:ascii="仿宋" w:hAnsi="仿宋" w:eastAsia="仿宋" w:cs="仿宋"/>
          <w:b w:val="0"/>
          <w:bCs/>
          <w:color w:val="FF0000"/>
          <w:sz w:val="32"/>
          <w:szCs w:val="32"/>
          <w:highlight w:val="none"/>
          <w:lang w:val="en-US" w:eastAsia="zh-CN"/>
        </w:rPr>
        <w:t>%</w:t>
      </w:r>
      <w:r>
        <w:rPr>
          <w:rFonts w:hint="eastAsia" w:ascii="仿宋" w:hAnsi="仿宋" w:eastAsia="仿宋" w:cs="仿宋"/>
          <w:b w:val="0"/>
          <w:bCs/>
          <w:color w:val="auto"/>
          <w:sz w:val="32"/>
          <w:szCs w:val="32"/>
          <w:highlight w:val="none"/>
          <w:lang w:val="en-US" w:eastAsia="zh-CN"/>
        </w:rPr>
        <w:t>。</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w:t>
      </w:r>
      <w:r>
        <w:rPr>
          <w:rFonts w:hint="eastAsia" w:ascii="仿宋" w:hAnsi="仿宋" w:eastAsia="仿宋" w:cs="仿宋"/>
          <w:color w:val="FF0000"/>
          <w:kern w:val="2"/>
          <w:sz w:val="32"/>
          <w:szCs w:val="32"/>
          <w:highlight w:val="none"/>
          <w:lang w:val="en-US" w:eastAsia="zh-CN" w:bidi="ar-SA"/>
        </w:rPr>
        <w:t>1255.07</w:t>
      </w:r>
      <w:r>
        <w:rPr>
          <w:rFonts w:hint="eastAsia" w:ascii="仿宋" w:hAnsi="仿宋" w:eastAsia="仿宋" w:cs="仿宋"/>
          <w:color w:val="auto"/>
          <w:kern w:val="2"/>
          <w:sz w:val="32"/>
          <w:szCs w:val="32"/>
          <w:highlight w:val="none"/>
          <w:lang w:val="en-US" w:eastAsia="zh-CN" w:bidi="ar-SA"/>
        </w:rPr>
        <w:t>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FF0000"/>
          <w:sz w:val="32"/>
          <w:szCs w:val="32"/>
          <w:highlight w:val="none"/>
          <w:lang w:val="en-US" w:eastAsia="zh-CN"/>
        </w:rPr>
        <w:t>1123.12</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FF0000"/>
          <w:kern w:val="2"/>
          <w:sz w:val="32"/>
          <w:szCs w:val="32"/>
          <w:highlight w:val="none"/>
          <w:lang w:val="en-US" w:eastAsia="zh-CN" w:bidi="ar-SA"/>
        </w:rPr>
        <w:t>基本工资、津贴补贴、奖金、机关事业单位基本养老保险缴费、职业年金缴费、职工基本医疗保险缴费、</w:t>
      </w:r>
      <w:r>
        <w:rPr>
          <w:rFonts w:hint="eastAsia" w:ascii="仿宋" w:hAnsi="仿宋" w:eastAsia="仿宋" w:cs="仿宋"/>
          <w:color w:val="FF0000"/>
          <w:sz w:val="32"/>
          <w:szCs w:val="32"/>
          <w:highlight w:val="none"/>
          <w:lang w:val="en-US" w:eastAsia="zh-CN"/>
        </w:rPr>
        <w:t>办公费、差旅费、维修（护）费、福利费、</w:t>
      </w:r>
      <w:r>
        <w:rPr>
          <w:rFonts w:hint="eastAsia" w:ascii="仿宋" w:hAnsi="仿宋" w:eastAsia="仿宋" w:cs="仿宋"/>
          <w:color w:val="FF0000"/>
          <w:kern w:val="2"/>
          <w:sz w:val="32"/>
          <w:szCs w:val="32"/>
          <w:highlight w:val="none"/>
          <w:lang w:val="en-US" w:eastAsia="zh-CN" w:bidi="ar-SA"/>
        </w:rPr>
        <w:t>退休费，抚恤金，生活补助，其他个人补助支出等</w:t>
      </w:r>
      <w:r>
        <w:rPr>
          <w:rFonts w:hint="eastAsia" w:ascii="仿宋" w:hAnsi="仿宋" w:eastAsia="仿宋" w:cs="仿宋"/>
          <w:color w:val="auto"/>
          <w:kern w:val="2"/>
          <w:sz w:val="32"/>
          <w:szCs w:val="32"/>
          <w:highlight w:val="none"/>
          <w:lang w:val="en-US" w:eastAsia="zh-CN" w:bidi="ar-SA"/>
        </w:rPr>
        <w:t>。</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FF0000"/>
          <w:sz w:val="32"/>
          <w:szCs w:val="32"/>
          <w:highlight w:val="none"/>
          <w:lang w:val="en-US" w:eastAsia="zh-CN"/>
        </w:rPr>
        <w:t>131.95</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b w:val="0"/>
          <w:bCs w:val="0"/>
          <w:color w:val="FF0000"/>
          <w:kern w:val="2"/>
          <w:sz w:val="32"/>
          <w:szCs w:val="32"/>
          <w:highlight w:val="none"/>
          <w:lang w:val="en-US" w:eastAsia="zh-CN" w:bidi="ar-SA"/>
        </w:rPr>
        <w:t>支农专项-社区党建工作经费项目0.62万元、民兵大比武经费项目2万元、库尔勒市丝路旅游小镇商圈党群服务中心项目20万元、2023年中央政法纪检监察资金项目1.5万元、2022年中央和自治区政法纪检监察资金项目1万元、2023年自治区驻村管寺管委会工作及人员经费项目1万元、2023年中央补助地方美术馆、公共图书馆、文化馆[站]免费开放补助资金项目3.13万元、2023年自治区补助地方美术馆、公共图书馆、文化馆[站]免费开放补助资金项目0.7万元、2023年积极应对人口老龄化工程和托育建设中央基建项目90万元、维护费用于春节前农民工工资项目5.9万元、2023年国有企业退休人员社会化管理补助资金项目2.86万元、2022年国有企业退休人员社会化管理补助支出项目1.82万元、2021年国有企业退休人员社会化管理补助支出项目1.42万元</w:t>
      </w:r>
      <w:r>
        <w:rPr>
          <w:rFonts w:hint="eastAsia" w:ascii="仿宋" w:hAnsi="仿宋" w:eastAsia="仿宋" w:cs="仿宋"/>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w:t>
      </w:r>
      <w:r>
        <w:rPr>
          <w:rFonts w:hint="eastAsia" w:ascii="仿宋" w:hAnsi="仿宋" w:eastAsia="仿宋" w:cs="仿宋"/>
          <w:b w:val="0"/>
          <w:bCs/>
          <w:color w:val="FF0000"/>
          <w:sz w:val="32"/>
          <w:szCs w:val="32"/>
          <w:highlight w:val="none"/>
          <w:lang w:val="en-US" w:eastAsia="zh-CN"/>
        </w:rPr>
        <w:t>1195.63</w:t>
      </w:r>
      <w:r>
        <w:rPr>
          <w:rFonts w:hint="eastAsia" w:ascii="仿宋" w:hAnsi="仿宋" w:eastAsia="仿宋" w:cs="仿宋"/>
          <w:b w:val="0"/>
          <w:bCs/>
          <w:color w:val="auto"/>
          <w:sz w:val="32"/>
          <w:szCs w:val="32"/>
          <w:highlight w:val="none"/>
          <w:lang w:val="en-US" w:eastAsia="zh-CN"/>
        </w:rPr>
        <w:t>万元，全年预算数</w:t>
      </w:r>
      <w:r>
        <w:rPr>
          <w:rFonts w:hint="eastAsia" w:ascii="仿宋" w:hAnsi="仿宋" w:eastAsia="仿宋" w:cs="仿宋"/>
          <w:b w:val="0"/>
          <w:bCs/>
          <w:color w:val="FF0000"/>
          <w:sz w:val="32"/>
          <w:szCs w:val="32"/>
          <w:highlight w:val="none"/>
          <w:lang w:val="en-US" w:eastAsia="zh-CN"/>
        </w:rPr>
        <w:t>1123.12</w:t>
      </w:r>
      <w:r>
        <w:rPr>
          <w:rFonts w:hint="eastAsia" w:ascii="仿宋" w:hAnsi="仿宋" w:eastAsia="仿宋" w:cs="仿宋"/>
          <w:b w:val="0"/>
          <w:bCs/>
          <w:color w:val="auto"/>
          <w:sz w:val="32"/>
          <w:szCs w:val="32"/>
          <w:highlight w:val="none"/>
          <w:lang w:val="en-US" w:eastAsia="zh-CN"/>
        </w:rPr>
        <w:t>万元，全年实际支出数</w:t>
      </w:r>
      <w:r>
        <w:rPr>
          <w:rFonts w:hint="eastAsia" w:ascii="仿宋" w:hAnsi="仿宋" w:eastAsia="仿宋" w:cs="仿宋"/>
          <w:b w:val="0"/>
          <w:bCs/>
          <w:color w:val="FF0000"/>
          <w:sz w:val="32"/>
          <w:szCs w:val="32"/>
          <w:highlight w:val="none"/>
          <w:lang w:val="en-US" w:eastAsia="zh-CN"/>
        </w:rPr>
        <w:t>1123.12</w:t>
      </w:r>
      <w:r>
        <w:rPr>
          <w:rFonts w:hint="eastAsia" w:ascii="仿宋" w:hAnsi="仿宋" w:eastAsia="仿宋" w:cs="仿宋"/>
          <w:b w:val="0"/>
          <w:bCs/>
          <w:color w:val="auto"/>
          <w:sz w:val="32"/>
          <w:szCs w:val="32"/>
          <w:highlight w:val="none"/>
          <w:lang w:val="en-US" w:eastAsia="zh-CN"/>
        </w:rPr>
        <w:t>万元，其中：人员经费</w:t>
      </w:r>
      <w:r>
        <w:rPr>
          <w:rFonts w:hint="eastAsia" w:ascii="仿宋" w:hAnsi="仿宋" w:eastAsia="仿宋" w:cs="仿宋"/>
          <w:b w:val="0"/>
          <w:bCs/>
          <w:color w:val="FF0000"/>
          <w:sz w:val="32"/>
          <w:szCs w:val="32"/>
          <w:highlight w:val="none"/>
          <w:lang w:val="en-US" w:eastAsia="zh-CN"/>
        </w:rPr>
        <w:t>1065.82</w:t>
      </w:r>
      <w:r>
        <w:rPr>
          <w:rFonts w:hint="eastAsia" w:ascii="仿宋" w:hAnsi="仿宋" w:eastAsia="仿宋" w:cs="仿宋"/>
          <w:b w:val="0"/>
          <w:bCs/>
          <w:color w:val="auto"/>
          <w:sz w:val="32"/>
          <w:szCs w:val="32"/>
          <w:highlight w:val="none"/>
          <w:lang w:val="en-US" w:eastAsia="zh-CN"/>
        </w:rPr>
        <w:t>万元，公用经费</w:t>
      </w:r>
      <w:r>
        <w:rPr>
          <w:rFonts w:hint="eastAsia" w:ascii="仿宋" w:hAnsi="仿宋" w:eastAsia="仿宋" w:cs="仿宋"/>
          <w:b w:val="0"/>
          <w:bCs/>
          <w:color w:val="FF0000"/>
          <w:sz w:val="32"/>
          <w:szCs w:val="32"/>
          <w:highlight w:val="none"/>
          <w:lang w:val="en-US" w:eastAsia="zh-CN"/>
        </w:rPr>
        <w:t>57.3</w:t>
      </w:r>
      <w:r>
        <w:rPr>
          <w:rFonts w:hint="eastAsia" w:ascii="仿宋" w:hAnsi="仿宋" w:eastAsia="仿宋" w:cs="仿宋"/>
          <w:b w:val="0"/>
          <w:bCs/>
          <w:color w:val="auto"/>
          <w:sz w:val="32"/>
          <w:szCs w:val="32"/>
          <w:highlight w:val="none"/>
          <w:lang w:val="en-US" w:eastAsia="zh-CN"/>
        </w:rPr>
        <w:t>万元。全年预算执行率</w:t>
      </w:r>
      <w:r>
        <w:rPr>
          <w:rFonts w:hint="eastAsia" w:ascii="仿宋" w:hAnsi="仿宋" w:eastAsia="仿宋" w:cs="仿宋"/>
          <w:b w:val="0"/>
          <w:bCs/>
          <w:color w:val="FF0000"/>
          <w:sz w:val="32"/>
          <w:szCs w:val="32"/>
          <w:highlight w:val="none"/>
          <w:lang w:val="en-US" w:eastAsia="zh-CN"/>
        </w:rPr>
        <w:t>100.00%</w:t>
      </w:r>
      <w:r>
        <w:rPr>
          <w:rFonts w:hint="eastAsia" w:ascii="仿宋" w:hAnsi="仿宋" w:eastAsia="仿宋" w:cs="仿宋"/>
          <w:b w:val="0"/>
          <w:bCs/>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w:t>
      </w:r>
      <w:r>
        <w:rPr>
          <w:rFonts w:hint="eastAsia" w:ascii="仿宋" w:hAnsi="仿宋" w:eastAsia="仿宋" w:cs="仿宋"/>
          <w:b w:val="0"/>
          <w:bCs/>
          <w:color w:val="FF0000"/>
          <w:sz w:val="32"/>
          <w:szCs w:val="32"/>
          <w:highlight w:val="none"/>
          <w:lang w:val="en-US" w:eastAsia="zh-CN"/>
        </w:rPr>
        <w:t>办公费、邮电费、差旅费、维修（护）费、劳务费、车辆运行维护费等。公务用车运行维护费主要用于单位车辆加油、维修及购买车辆保险。</w:t>
      </w:r>
    </w:p>
    <w:p>
      <w:pPr>
        <w:pStyle w:val="3"/>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2023年本单位共安排13个项目，全年预算数为131.95万元，全年实际支出数131.95万元，执行率100.00%。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其中:上级安排项目9个103.43万元，本级安排项目4个28.52万元,其他资金安排项目0个0万元。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00B0F0"/>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9"/>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w:t>
      </w:r>
      <w:r>
        <w:rPr>
          <w:rStyle w:val="9"/>
          <w:rFonts w:hint="eastAsia" w:ascii="仿宋" w:hAnsi="仿宋" w:eastAsia="仿宋" w:cs="仿宋"/>
          <w:b w:val="0"/>
          <w:color w:val="FF0000"/>
          <w:spacing w:val="-4"/>
          <w:sz w:val="32"/>
          <w:szCs w:val="32"/>
          <w:highlight w:val="none"/>
          <w:lang w:val="en-US" w:eastAsia="zh-CN"/>
        </w:rPr>
        <w:t>1</w:t>
      </w:r>
      <w:r>
        <w:rPr>
          <w:rStyle w:val="9"/>
          <w:rFonts w:hint="eastAsia" w:ascii="仿宋" w:hAnsi="仿宋" w:eastAsia="仿宋" w:cs="仿宋"/>
          <w:b w:val="0"/>
          <w:color w:val="auto"/>
          <w:spacing w:val="-4"/>
          <w:sz w:val="32"/>
          <w:szCs w:val="32"/>
          <w:highlight w:val="none"/>
          <w:lang w:val="en-US" w:eastAsia="zh-CN"/>
        </w:rPr>
        <w:t>条，二级指标共</w:t>
      </w:r>
      <w:r>
        <w:rPr>
          <w:rStyle w:val="9"/>
          <w:rFonts w:hint="eastAsia" w:ascii="仿宋" w:hAnsi="仿宋" w:eastAsia="仿宋" w:cs="仿宋"/>
          <w:b w:val="0"/>
          <w:color w:val="FF0000"/>
          <w:spacing w:val="-4"/>
          <w:sz w:val="32"/>
          <w:szCs w:val="32"/>
          <w:highlight w:val="none"/>
          <w:lang w:val="en-US" w:eastAsia="zh-CN"/>
        </w:rPr>
        <w:t>1</w:t>
      </w:r>
      <w:r>
        <w:rPr>
          <w:rStyle w:val="9"/>
          <w:rFonts w:hint="eastAsia" w:ascii="仿宋" w:hAnsi="仿宋" w:eastAsia="仿宋" w:cs="仿宋"/>
          <w:b w:val="0"/>
          <w:color w:val="auto"/>
          <w:spacing w:val="-4"/>
          <w:sz w:val="32"/>
          <w:szCs w:val="32"/>
          <w:highlight w:val="none"/>
          <w:lang w:val="en-US" w:eastAsia="zh-CN"/>
        </w:rPr>
        <w:t>条，三级指标共</w:t>
      </w:r>
      <w:r>
        <w:rPr>
          <w:rStyle w:val="9"/>
          <w:rFonts w:hint="eastAsia" w:ascii="仿宋" w:hAnsi="仿宋" w:eastAsia="仿宋" w:cs="仿宋"/>
          <w:b w:val="0"/>
          <w:color w:val="FF0000"/>
          <w:spacing w:val="-4"/>
          <w:sz w:val="32"/>
          <w:szCs w:val="32"/>
          <w:highlight w:val="none"/>
          <w:lang w:val="en-US" w:eastAsia="zh-CN"/>
        </w:rPr>
        <w:t>4</w:t>
      </w:r>
      <w:r>
        <w:rPr>
          <w:rStyle w:val="9"/>
          <w:rFonts w:hint="eastAsia" w:ascii="仿宋" w:hAnsi="仿宋" w:eastAsia="仿宋" w:cs="仿宋"/>
          <w:b w:val="0"/>
          <w:color w:val="auto"/>
          <w:spacing w:val="-4"/>
          <w:sz w:val="32"/>
          <w:szCs w:val="32"/>
          <w:highlight w:val="none"/>
          <w:lang w:val="en-US" w:eastAsia="zh-CN"/>
        </w:rPr>
        <w:t>条，其中量化指标条数共</w:t>
      </w:r>
      <w:r>
        <w:rPr>
          <w:rStyle w:val="9"/>
          <w:rFonts w:hint="eastAsia" w:ascii="仿宋" w:hAnsi="仿宋" w:eastAsia="仿宋" w:cs="仿宋"/>
          <w:b w:val="0"/>
          <w:color w:val="FF0000"/>
          <w:spacing w:val="-4"/>
          <w:sz w:val="32"/>
          <w:szCs w:val="32"/>
          <w:highlight w:val="none"/>
          <w:lang w:val="en-US" w:eastAsia="zh-CN"/>
        </w:rPr>
        <w:t>4</w:t>
      </w:r>
      <w:r>
        <w:rPr>
          <w:rStyle w:val="9"/>
          <w:rFonts w:hint="eastAsia" w:ascii="仿宋" w:hAnsi="仿宋" w:eastAsia="仿宋" w:cs="仿宋"/>
          <w:b w:val="0"/>
          <w:color w:val="auto"/>
          <w:spacing w:val="-4"/>
          <w:sz w:val="32"/>
          <w:szCs w:val="32"/>
          <w:highlight w:val="none"/>
          <w:lang w:val="en-US" w:eastAsia="zh-CN"/>
        </w:rPr>
        <w:t>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FF0000"/>
          <w:spacing w:val="-4"/>
          <w:sz w:val="32"/>
          <w:szCs w:val="32"/>
          <w:highlight w:val="none"/>
          <w:lang w:val="en-US" w:eastAsia="zh-CN"/>
        </w:rPr>
      </w:pPr>
      <w:r>
        <w:rPr>
          <w:rStyle w:val="9"/>
          <w:rFonts w:hint="eastAsia" w:ascii="仿宋" w:hAnsi="仿宋" w:eastAsia="仿宋" w:cs="仿宋"/>
          <w:b w:val="0"/>
          <w:color w:val="FF0000"/>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FF0000"/>
          <w:spacing w:val="-4"/>
          <w:sz w:val="32"/>
          <w:szCs w:val="32"/>
          <w:highlight w:val="none"/>
          <w:lang w:val="en-US" w:eastAsia="zh-CN"/>
        </w:rPr>
      </w:pPr>
      <w:r>
        <w:rPr>
          <w:rStyle w:val="9"/>
          <w:rFonts w:hint="eastAsia" w:ascii="仿宋" w:hAnsi="仿宋" w:eastAsia="仿宋" w:cs="仿宋"/>
          <w:b w:val="0"/>
          <w:color w:val="FF0000"/>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FF0000"/>
          <w:spacing w:val="-4"/>
          <w:sz w:val="32"/>
          <w:szCs w:val="32"/>
          <w:highlight w:val="none"/>
          <w:lang w:val="en-US" w:eastAsia="zh-CN"/>
        </w:rPr>
      </w:pPr>
      <w:r>
        <w:rPr>
          <w:rStyle w:val="9"/>
          <w:rFonts w:hint="eastAsia" w:ascii="仿宋" w:hAnsi="仿宋" w:eastAsia="仿宋" w:cs="仿宋"/>
          <w:b w:val="0"/>
          <w:color w:val="FF0000"/>
          <w:spacing w:val="-4"/>
          <w:sz w:val="32"/>
          <w:szCs w:val="32"/>
          <w:highlight w:val="none"/>
          <w:lang w:val="en-US" w:eastAsia="zh-CN"/>
        </w:rPr>
        <w:t>数量指标1：管辖社区数量,预期指标值为：&gt;=5个；监控节点完成值：=2个；评价实际完成值：=5个；指标完成率：100.00%；成效分析：</w:t>
      </w:r>
      <w:r>
        <w:rPr>
          <w:rStyle w:val="9"/>
          <w:rFonts w:hint="eastAsia" w:ascii="仿宋" w:hAnsi="仿宋" w:eastAsia="仿宋" w:cs="仿宋"/>
          <w:b w:val="0"/>
          <w:bCs/>
          <w:color w:val="FF0000"/>
          <w:spacing w:val="-4"/>
          <w:sz w:val="32"/>
          <w:szCs w:val="32"/>
          <w:highlight w:val="none"/>
          <w:lang w:val="en-US" w:eastAsia="zh-CN"/>
        </w:rPr>
        <w:t>通过单位正常运转</w:t>
      </w:r>
      <w:r>
        <w:rPr>
          <w:rStyle w:val="9"/>
          <w:rFonts w:hint="eastAsia" w:ascii="仿宋" w:hAnsi="仿宋" w:eastAsia="仿宋" w:cs="仿宋"/>
          <w:b w:val="0"/>
          <w:color w:val="FF0000"/>
          <w:spacing w:val="-4"/>
          <w:sz w:val="32"/>
          <w:szCs w:val="32"/>
          <w:highlight w:val="none"/>
          <w:lang w:val="en-US" w:eastAsia="zh-CN"/>
        </w:rPr>
        <w:t>，改善了各社区服务环境。</w:t>
      </w:r>
    </w:p>
    <w:p>
      <w:pPr>
        <w:pStyle w:val="3"/>
        <w:keepNext w:val="0"/>
        <w:keepLines w:val="0"/>
        <w:pageBreakBefore w:val="0"/>
        <w:widowControl w:val="0"/>
        <w:kinsoku/>
        <w:wordWrap/>
        <w:overflowPunct/>
        <w:topLinePunct w:val="0"/>
        <w:autoSpaceDE/>
        <w:autoSpaceDN/>
        <w:bidi w:val="0"/>
        <w:adjustRightInd/>
        <w:snapToGrid/>
        <w:ind w:firstLine="624" w:firstLineChars="200"/>
        <w:textAlignment w:val="auto"/>
        <w:rPr>
          <w:rStyle w:val="9"/>
          <w:rFonts w:hint="eastAsia" w:ascii="仿宋" w:hAnsi="仿宋" w:eastAsia="仿宋" w:cs="仿宋"/>
          <w:b w:val="0"/>
          <w:bCs/>
          <w:color w:val="FF0000"/>
          <w:spacing w:val="-4"/>
          <w:sz w:val="32"/>
          <w:szCs w:val="32"/>
          <w:highlight w:val="none"/>
          <w:lang w:val="en-US" w:eastAsia="zh-CN"/>
        </w:rPr>
      </w:pPr>
      <w:r>
        <w:rPr>
          <w:rStyle w:val="9"/>
          <w:rFonts w:hint="eastAsia" w:ascii="仿宋" w:hAnsi="仿宋" w:eastAsia="仿宋" w:cs="仿宋"/>
          <w:b w:val="0"/>
          <w:bCs/>
          <w:color w:val="FF0000"/>
          <w:spacing w:val="-4"/>
          <w:sz w:val="32"/>
          <w:szCs w:val="32"/>
          <w:highlight w:val="none"/>
          <w:lang w:val="en-US" w:eastAsia="zh-CN"/>
        </w:rPr>
        <w:t>数量指标2：为民办实事件数,预期指标值为：&gt;=7件；监控节点完成值：=4件；评价实际完成值：=7件；指标完成率：100.00%；成效分析：通过单位正常运转，提高了各社区为服务群众质量。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FF0000"/>
          <w:spacing w:val="-4"/>
          <w:sz w:val="32"/>
          <w:szCs w:val="32"/>
          <w:highlight w:val="none"/>
          <w:lang w:val="en-US" w:eastAsia="zh-CN"/>
        </w:rPr>
      </w:pPr>
      <w:r>
        <w:rPr>
          <w:rStyle w:val="9"/>
          <w:rFonts w:hint="eastAsia" w:ascii="仿宋" w:hAnsi="仿宋" w:eastAsia="仿宋" w:cs="仿宋"/>
          <w:b w:val="0"/>
          <w:color w:val="FF0000"/>
          <w:spacing w:val="-4"/>
          <w:sz w:val="32"/>
          <w:szCs w:val="32"/>
          <w:highlight w:val="none"/>
          <w:lang w:val="en-US" w:eastAsia="zh-CN"/>
        </w:rPr>
        <w:t>数量指标3：信访事项化解件数,预期指标值为：&gt;=5件；监控节点完成值：=2件；评价实际完成值：=5件；指标完成率：100.00%；成效分析：通过单位正常运转，提高了各社区为服务群众质量。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仿宋" w:hAnsi="仿宋" w:eastAsia="仿宋" w:cs="仿宋"/>
          <w:b w:val="0"/>
          <w:color w:val="FF0000"/>
          <w:spacing w:val="-4"/>
          <w:sz w:val="32"/>
          <w:szCs w:val="32"/>
          <w:highlight w:val="none"/>
          <w:lang w:val="en-US" w:eastAsia="zh-CN"/>
        </w:rPr>
        <w:t>数量指标4：节日慰问人次,预期指标值为：&gt;=30人次；监控节点完成值：=15人次；评价实际完成值：=30人次；指标完成率：100.00%；成效分析：通过单位正常运转，提高了各社区为服务群众质量。</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（四）指标四：社会效益</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FF0000"/>
          <w:spacing w:val="-4"/>
          <w:sz w:val="32"/>
          <w:szCs w:val="32"/>
          <w:highlight w:val="none"/>
          <w:lang w:val="en-US" w:eastAsia="zh-CN"/>
        </w:rPr>
      </w:pPr>
      <w:r>
        <w:rPr>
          <w:rStyle w:val="9"/>
          <w:rFonts w:hint="eastAsia" w:ascii="仿宋" w:hAnsi="仿宋" w:eastAsia="仿宋" w:cs="仿宋"/>
          <w:b w:val="0"/>
          <w:color w:val="FF0000"/>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FF0000"/>
          <w:spacing w:val="-4"/>
          <w:sz w:val="32"/>
          <w:szCs w:val="32"/>
          <w:highlight w:val="none"/>
          <w:lang w:val="en-US" w:eastAsia="zh-CN"/>
        </w:rPr>
      </w:pPr>
      <w:r>
        <w:rPr>
          <w:rStyle w:val="9"/>
          <w:rFonts w:hint="eastAsia" w:ascii="仿宋" w:hAnsi="仿宋" w:eastAsia="仿宋" w:cs="仿宋"/>
          <w:b w:val="0"/>
          <w:color w:val="FF0000"/>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（六）指标六：服务对象满意度</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FF0000"/>
          <w:spacing w:val="-4"/>
          <w:sz w:val="32"/>
          <w:szCs w:val="32"/>
          <w:highlight w:val="none"/>
          <w:lang w:val="en-US" w:eastAsia="zh-CN"/>
        </w:rPr>
      </w:pPr>
      <w:r>
        <w:rPr>
          <w:rStyle w:val="9"/>
          <w:rFonts w:hint="eastAsia" w:ascii="仿宋" w:hAnsi="仿宋" w:eastAsia="仿宋" w:cs="仿宋"/>
          <w:b w:val="0"/>
          <w:color w:val="FF0000"/>
          <w:spacing w:val="-4"/>
          <w:sz w:val="32"/>
          <w:szCs w:val="32"/>
          <w:highlight w:val="none"/>
          <w:lang w:val="en-US" w:eastAsia="zh-CN"/>
        </w:rPr>
        <w:t>无此项指标。</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ascii="黑体" w:hAnsi="黑体" w:eastAsia="黑体"/>
          <w:b w:val="0"/>
          <w:bCs w:val="0"/>
          <w:color w:val="auto"/>
          <w:spacing w:val="-4"/>
          <w:sz w:val="32"/>
          <w:szCs w:val="32"/>
          <w:highlight w:val="none"/>
        </w:rPr>
      </w:pPr>
      <w:r>
        <w:rPr>
          <w:rStyle w:val="9"/>
          <w:rFonts w:hint="eastAsia" w:ascii="黑体" w:hAnsi="黑体" w:eastAsia="黑体"/>
          <w:b w:val="0"/>
          <w:bCs w:val="0"/>
          <w:color w:val="auto"/>
          <w:spacing w:val="-4"/>
          <w:sz w:val="32"/>
          <w:szCs w:val="32"/>
          <w:highlight w:val="none"/>
          <w:lang w:val="en-US" w:eastAsia="zh-CN"/>
        </w:rPr>
        <w:t>四、</w:t>
      </w:r>
      <w:r>
        <w:rPr>
          <w:rStyle w:val="9"/>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FF0000"/>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2023年度部门整体支出绩效自评综合得分10</w:t>
      </w:r>
      <w:r>
        <w:rPr>
          <w:rStyle w:val="9"/>
          <w:rFonts w:hint="eastAsia" w:ascii="仿宋" w:hAnsi="仿宋" w:eastAsia="仿宋" w:cs="仿宋"/>
          <w:b w:val="0"/>
          <w:bCs/>
          <w:color w:val="FF0000"/>
          <w:spacing w:val="-4"/>
          <w:sz w:val="32"/>
          <w:szCs w:val="32"/>
          <w:highlight w:val="none"/>
          <w:lang w:val="en-US" w:eastAsia="zh-CN"/>
        </w:rPr>
        <w:t>0</w:t>
      </w:r>
      <w:r>
        <w:rPr>
          <w:rStyle w:val="9"/>
          <w:rFonts w:hint="eastAsia" w:ascii="仿宋" w:hAnsi="仿宋" w:eastAsia="仿宋" w:cs="仿宋"/>
          <w:b w:val="0"/>
          <w:bCs/>
          <w:color w:val="auto"/>
          <w:spacing w:val="-4"/>
          <w:sz w:val="32"/>
          <w:szCs w:val="32"/>
          <w:highlight w:val="none"/>
          <w:lang w:val="en-US" w:eastAsia="zh-CN"/>
        </w:rPr>
        <w:t>分，评价结果为“</w:t>
      </w:r>
      <w:r>
        <w:rPr>
          <w:rStyle w:val="9"/>
          <w:rFonts w:hint="eastAsia" w:ascii="仿宋" w:hAnsi="仿宋" w:eastAsia="仿宋" w:cs="仿宋"/>
          <w:b w:val="0"/>
          <w:bCs/>
          <w:color w:val="FF0000"/>
          <w:spacing w:val="-4"/>
          <w:sz w:val="32"/>
          <w:szCs w:val="32"/>
          <w:highlight w:val="none"/>
          <w:lang w:val="en-US" w:eastAsia="zh-CN"/>
        </w:rPr>
        <w:t>优”</w:t>
      </w:r>
      <w:r>
        <w:rPr>
          <w:rStyle w:val="9"/>
          <w:rFonts w:hint="eastAsia" w:ascii="仿宋" w:hAnsi="仿宋" w:eastAsia="仿宋" w:cs="仿宋"/>
          <w:b w:val="0"/>
          <w:bCs/>
          <w:color w:val="auto"/>
          <w:spacing w:val="-4"/>
          <w:sz w:val="32"/>
          <w:szCs w:val="32"/>
          <w:highlight w:val="none"/>
          <w:lang w:val="en-US" w:eastAsia="zh-CN"/>
        </w:rPr>
        <w:t>。</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五、</w:t>
      </w:r>
      <w:r>
        <w:rPr>
          <w:rStyle w:val="9"/>
          <w:rFonts w:hint="eastAsia" w:ascii="黑体" w:hAnsi="黑体" w:eastAsia="黑体" w:cs="黑体"/>
          <w:b w:val="0"/>
          <w:bCs w:val="0"/>
          <w:color w:val="auto"/>
          <w:spacing w:val="-4"/>
          <w:sz w:val="32"/>
          <w:szCs w:val="32"/>
          <w:highlight w:val="none"/>
        </w:rPr>
        <w:t>存在的主要问题</w:t>
      </w:r>
      <w:r>
        <w:rPr>
          <w:rStyle w:val="9"/>
          <w:rFonts w:hint="eastAsia" w:ascii="黑体" w:hAnsi="黑体" w:eastAsia="黑体" w:cs="黑体"/>
          <w:b w:val="0"/>
          <w:bCs w:val="0"/>
          <w:color w:val="auto"/>
          <w:spacing w:val="-4"/>
          <w:sz w:val="32"/>
          <w:szCs w:val="32"/>
          <w:highlight w:val="none"/>
          <w:lang w:eastAsia="zh-CN"/>
        </w:rPr>
        <w:t>及原因分析</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84" w:firstLineChars="200"/>
        <w:textAlignment w:val="auto"/>
        <w:rPr>
          <w:rStyle w:val="9"/>
          <w:rFonts w:hint="eastAsia" w:ascii="黑体" w:hAnsi="黑体" w:eastAsia="黑体" w:cs="黑体"/>
          <w:b w:val="0"/>
          <w:bCs w:val="0"/>
          <w:color w:val="FF0000"/>
          <w:spacing w:val="-4"/>
          <w:sz w:val="32"/>
          <w:szCs w:val="32"/>
          <w:highlight w:val="none"/>
          <w:lang w:val="en-US" w:eastAsia="zh-CN"/>
        </w:rPr>
      </w:pPr>
      <w:r>
        <w:rPr>
          <w:rFonts w:hint="default" w:ascii="Times New Roman" w:hAnsi="Times New Roman" w:eastAsia="方正仿宋_GBK" w:cs="Times New Roman"/>
          <w:color w:val="000000"/>
          <w:spacing w:val="11"/>
          <w:sz w:val="32"/>
          <w:szCs w:val="32"/>
          <w:highlight w:val="none"/>
          <w:u w:val="none"/>
          <w:lang w:val="en-US" w:eastAsia="zh-CN"/>
        </w:rPr>
        <w:t>丝路街道各项工作稳步推进，但离市委、市政府的要求还存在一定差距。</w:t>
      </w:r>
      <w:r>
        <w:rPr>
          <w:rFonts w:hint="default" w:ascii="Times New Roman" w:hAnsi="Times New Roman" w:eastAsia="方正仿宋_GBK" w:cs="Times New Roman"/>
          <w:b/>
          <w:bCs/>
          <w:color w:val="000000"/>
          <w:spacing w:val="11"/>
          <w:sz w:val="32"/>
          <w:szCs w:val="32"/>
          <w:highlight w:val="none"/>
          <w:u w:val="none"/>
          <w:lang w:val="en-US" w:eastAsia="zh-CN"/>
        </w:rPr>
        <w:t>一是</w:t>
      </w:r>
      <w:r>
        <w:rPr>
          <w:rFonts w:hint="default" w:ascii="Times New Roman" w:hAnsi="Times New Roman" w:eastAsia="方正仿宋_GBK" w:cs="Times New Roman"/>
          <w:color w:val="000000"/>
          <w:spacing w:val="11"/>
          <w:sz w:val="32"/>
          <w:szCs w:val="32"/>
          <w:highlight w:val="none"/>
          <w:u w:val="none"/>
          <w:lang w:val="en-US" w:eastAsia="zh-CN"/>
        </w:rPr>
        <w:t>落实维护稳定工作仍有缺陷。常态化开展社会面防控有短板，维稳值班中存在脱岗、睡岗等问题，落实流动人口</w:t>
      </w:r>
      <w:r>
        <w:rPr>
          <w:rFonts w:hint="eastAsia" w:ascii="Times New Roman" w:hAnsi="Times New Roman" w:eastAsia="方正仿宋_GBK" w:cs="Times New Roman"/>
          <w:color w:val="000000"/>
          <w:spacing w:val="11"/>
          <w:sz w:val="32"/>
          <w:szCs w:val="32"/>
          <w:highlight w:val="none"/>
          <w:u w:val="none"/>
          <w:lang w:val="en-US" w:eastAsia="zh-CN"/>
        </w:rPr>
        <w:t>“</w:t>
      </w:r>
      <w:r>
        <w:rPr>
          <w:rFonts w:hint="default" w:ascii="Times New Roman" w:hAnsi="Times New Roman" w:eastAsia="方正仿宋_GBK" w:cs="Times New Roman"/>
          <w:color w:val="000000"/>
          <w:spacing w:val="11"/>
          <w:sz w:val="32"/>
          <w:szCs w:val="32"/>
          <w:highlight w:val="none"/>
          <w:u w:val="none"/>
          <w:lang w:val="en-US" w:eastAsia="zh-CN"/>
        </w:rPr>
        <w:t>369</w:t>
      </w:r>
      <w:r>
        <w:rPr>
          <w:rFonts w:hint="eastAsia" w:ascii="Times New Roman" w:hAnsi="Times New Roman" w:eastAsia="方正仿宋_GBK" w:cs="Times New Roman"/>
          <w:color w:val="000000"/>
          <w:spacing w:val="11"/>
          <w:sz w:val="32"/>
          <w:szCs w:val="32"/>
          <w:highlight w:val="none"/>
          <w:u w:val="none"/>
          <w:lang w:val="en-US" w:eastAsia="zh-CN"/>
        </w:rPr>
        <w:t>”</w:t>
      </w:r>
      <w:r>
        <w:rPr>
          <w:rFonts w:hint="default" w:ascii="Times New Roman" w:hAnsi="Times New Roman" w:eastAsia="方正仿宋_GBK" w:cs="Times New Roman"/>
          <w:color w:val="000000"/>
          <w:spacing w:val="11"/>
          <w:sz w:val="32"/>
          <w:szCs w:val="32"/>
          <w:highlight w:val="none"/>
          <w:u w:val="none"/>
          <w:lang w:val="en-US" w:eastAsia="zh-CN"/>
        </w:rPr>
        <w:t>限时工作法不够深入。</w:t>
      </w:r>
      <w:r>
        <w:rPr>
          <w:rFonts w:hint="default" w:ascii="Times New Roman" w:hAnsi="Times New Roman" w:eastAsia="方正仿宋_GBK" w:cs="Times New Roman"/>
          <w:b/>
          <w:bCs/>
          <w:color w:val="000000"/>
          <w:spacing w:val="11"/>
          <w:sz w:val="32"/>
          <w:szCs w:val="32"/>
          <w:highlight w:val="none"/>
          <w:u w:val="none"/>
          <w:lang w:val="en-US" w:eastAsia="zh-CN"/>
        </w:rPr>
        <w:t>二是</w:t>
      </w:r>
      <w:r>
        <w:rPr>
          <w:rFonts w:hint="default" w:ascii="Times New Roman" w:hAnsi="Times New Roman" w:eastAsia="方正仿宋_GBK" w:cs="Times New Roman"/>
          <w:color w:val="000000"/>
          <w:spacing w:val="11"/>
          <w:sz w:val="32"/>
          <w:szCs w:val="32"/>
          <w:highlight w:val="none"/>
          <w:u w:val="none"/>
          <w:lang w:val="en-US" w:eastAsia="zh-CN"/>
        </w:rPr>
        <w:t>意识形态领域风险排查防范化解能力仍然不足。</w:t>
      </w:r>
      <w:r>
        <w:rPr>
          <w:rFonts w:hint="eastAsia" w:ascii="Times New Roman" w:hAnsi="Times New Roman" w:eastAsia="方正仿宋_GBK" w:cs="Times New Roman"/>
          <w:color w:val="000000"/>
          <w:spacing w:val="11"/>
          <w:sz w:val="32"/>
          <w:szCs w:val="32"/>
          <w:highlight w:val="none"/>
          <w:u w:val="none"/>
          <w:lang w:val="en-US" w:eastAsia="zh-CN"/>
        </w:rPr>
        <w:t>“</w:t>
      </w:r>
      <w:r>
        <w:rPr>
          <w:rFonts w:hint="default" w:ascii="Times New Roman" w:hAnsi="Times New Roman" w:eastAsia="方正仿宋_GBK" w:cs="Times New Roman"/>
          <w:color w:val="000000"/>
          <w:spacing w:val="11"/>
          <w:sz w:val="32"/>
          <w:szCs w:val="32"/>
          <w:highlight w:val="none"/>
          <w:u w:val="none"/>
          <w:lang w:val="en-US" w:eastAsia="zh-CN"/>
        </w:rPr>
        <w:t>三非三化</w:t>
      </w:r>
      <w:r>
        <w:rPr>
          <w:rFonts w:hint="eastAsia" w:ascii="Times New Roman" w:hAnsi="Times New Roman" w:eastAsia="方正仿宋_GBK" w:cs="Times New Roman"/>
          <w:color w:val="000000"/>
          <w:spacing w:val="11"/>
          <w:sz w:val="32"/>
          <w:szCs w:val="32"/>
          <w:highlight w:val="none"/>
          <w:u w:val="none"/>
          <w:lang w:val="en-US" w:eastAsia="zh-CN"/>
        </w:rPr>
        <w:t>”</w:t>
      </w:r>
      <w:r>
        <w:rPr>
          <w:rFonts w:hint="default" w:ascii="Times New Roman" w:hAnsi="Times New Roman" w:eastAsia="方正仿宋_GBK" w:cs="Times New Roman"/>
          <w:color w:val="000000"/>
          <w:spacing w:val="11"/>
          <w:sz w:val="32"/>
          <w:szCs w:val="32"/>
          <w:highlight w:val="none"/>
          <w:u w:val="none"/>
          <w:lang w:val="en-US" w:eastAsia="zh-CN"/>
        </w:rPr>
        <w:t>和</w:t>
      </w:r>
      <w:r>
        <w:rPr>
          <w:rFonts w:hint="eastAsia" w:ascii="Times New Roman" w:hAnsi="Times New Roman" w:eastAsia="方正仿宋_GBK" w:cs="Times New Roman"/>
          <w:color w:val="000000"/>
          <w:spacing w:val="11"/>
          <w:sz w:val="32"/>
          <w:szCs w:val="32"/>
          <w:highlight w:val="none"/>
          <w:u w:val="none"/>
          <w:lang w:val="en-US" w:eastAsia="zh-CN"/>
        </w:rPr>
        <w:t>“</w:t>
      </w:r>
      <w:r>
        <w:rPr>
          <w:rFonts w:hint="default" w:ascii="Times New Roman" w:hAnsi="Times New Roman" w:eastAsia="方正仿宋_GBK" w:cs="Times New Roman"/>
          <w:color w:val="000000"/>
          <w:spacing w:val="11"/>
          <w:sz w:val="32"/>
          <w:szCs w:val="32"/>
          <w:highlight w:val="none"/>
          <w:u w:val="none"/>
          <w:lang w:val="en-US" w:eastAsia="zh-CN"/>
        </w:rPr>
        <w:t>清真</w:t>
      </w:r>
      <w:r>
        <w:rPr>
          <w:rFonts w:hint="eastAsia" w:ascii="Times New Roman" w:hAnsi="Times New Roman" w:eastAsia="方正仿宋_GBK" w:cs="Times New Roman"/>
          <w:color w:val="000000"/>
          <w:spacing w:val="11"/>
          <w:sz w:val="32"/>
          <w:szCs w:val="32"/>
          <w:highlight w:val="none"/>
          <w:u w:val="none"/>
          <w:lang w:val="en-US" w:eastAsia="zh-CN"/>
        </w:rPr>
        <w:t>”</w:t>
      </w:r>
      <w:r>
        <w:rPr>
          <w:rFonts w:hint="default" w:ascii="Times New Roman" w:hAnsi="Times New Roman" w:eastAsia="方正仿宋_GBK" w:cs="Times New Roman"/>
          <w:color w:val="000000"/>
          <w:spacing w:val="11"/>
          <w:sz w:val="32"/>
          <w:szCs w:val="32"/>
          <w:highlight w:val="none"/>
          <w:u w:val="none"/>
          <w:lang w:val="en-US" w:eastAsia="zh-CN"/>
        </w:rPr>
        <w:t>概念泛化问题仍有发生，引导辖区群众树牢</w:t>
      </w:r>
      <w:r>
        <w:rPr>
          <w:rFonts w:hint="eastAsia" w:ascii="Times New Roman" w:hAnsi="Times New Roman" w:eastAsia="方正仿宋_GBK" w:cs="Times New Roman"/>
          <w:color w:val="000000"/>
          <w:spacing w:val="11"/>
          <w:sz w:val="32"/>
          <w:szCs w:val="32"/>
          <w:highlight w:val="none"/>
          <w:u w:val="none"/>
          <w:lang w:val="en-US" w:eastAsia="zh-CN"/>
        </w:rPr>
        <w:t>“</w:t>
      </w:r>
      <w:r>
        <w:rPr>
          <w:rFonts w:hint="default" w:ascii="Times New Roman" w:hAnsi="Times New Roman" w:eastAsia="方正仿宋_GBK" w:cs="Times New Roman"/>
          <w:color w:val="000000"/>
          <w:spacing w:val="11"/>
          <w:sz w:val="32"/>
          <w:szCs w:val="32"/>
          <w:highlight w:val="none"/>
          <w:u w:val="none"/>
          <w:lang w:val="en-US" w:eastAsia="zh-CN"/>
        </w:rPr>
        <w:t>五个认同</w:t>
      </w:r>
      <w:r>
        <w:rPr>
          <w:rFonts w:hint="eastAsia" w:ascii="Times New Roman" w:hAnsi="Times New Roman" w:eastAsia="方正仿宋_GBK" w:cs="Times New Roman"/>
          <w:color w:val="000000"/>
          <w:spacing w:val="11"/>
          <w:sz w:val="32"/>
          <w:szCs w:val="32"/>
          <w:highlight w:val="none"/>
          <w:u w:val="none"/>
          <w:lang w:val="en-US" w:eastAsia="zh-CN"/>
        </w:rPr>
        <w:t>”</w:t>
      </w:r>
      <w:r>
        <w:rPr>
          <w:rFonts w:hint="default" w:ascii="Times New Roman" w:hAnsi="Times New Roman" w:eastAsia="方正仿宋_GBK" w:cs="Times New Roman"/>
          <w:color w:val="000000"/>
          <w:spacing w:val="11"/>
          <w:sz w:val="32"/>
          <w:szCs w:val="32"/>
          <w:highlight w:val="none"/>
          <w:u w:val="none"/>
          <w:lang w:val="en-US" w:eastAsia="zh-CN"/>
        </w:rPr>
        <w:t>形式不够丰富、举措不够有效。</w:t>
      </w:r>
      <w:r>
        <w:rPr>
          <w:rFonts w:hint="default" w:ascii="Times New Roman" w:hAnsi="Times New Roman" w:eastAsia="方正仿宋_GBK" w:cs="Times New Roman"/>
          <w:b/>
          <w:bCs/>
          <w:color w:val="000000"/>
          <w:spacing w:val="11"/>
          <w:sz w:val="32"/>
          <w:szCs w:val="32"/>
          <w:highlight w:val="none"/>
          <w:u w:val="none"/>
          <w:lang w:val="en-US" w:eastAsia="zh-CN"/>
        </w:rPr>
        <w:t>三是</w:t>
      </w:r>
      <w:r>
        <w:rPr>
          <w:rFonts w:hint="default" w:ascii="Times New Roman" w:hAnsi="Times New Roman" w:eastAsia="方正仿宋_GBK" w:cs="Times New Roman"/>
          <w:color w:val="000000"/>
          <w:spacing w:val="11"/>
          <w:sz w:val="32"/>
          <w:szCs w:val="32"/>
          <w:highlight w:val="none"/>
          <w:u w:val="none"/>
          <w:lang w:val="en-US" w:eastAsia="zh-CN"/>
        </w:rPr>
        <w:t>基层社会治理能力不足。基层干部针对</w:t>
      </w:r>
      <w:r>
        <w:rPr>
          <w:rFonts w:hint="eastAsia" w:ascii="Times New Roman" w:hAnsi="Times New Roman" w:eastAsia="方正仿宋_GBK" w:cs="Times New Roman"/>
          <w:color w:val="000000"/>
          <w:spacing w:val="11"/>
          <w:sz w:val="32"/>
          <w:szCs w:val="32"/>
          <w:highlight w:val="none"/>
          <w:u w:val="none"/>
          <w:lang w:val="en-US" w:eastAsia="zh-CN"/>
        </w:rPr>
        <w:t>“</w:t>
      </w:r>
      <w:r>
        <w:rPr>
          <w:rFonts w:hint="default" w:ascii="Times New Roman" w:hAnsi="Times New Roman" w:eastAsia="方正仿宋_GBK" w:cs="Times New Roman"/>
          <w:color w:val="000000"/>
          <w:spacing w:val="11"/>
          <w:sz w:val="32"/>
          <w:szCs w:val="32"/>
          <w:highlight w:val="none"/>
          <w:u w:val="none"/>
          <w:lang w:val="en-US" w:eastAsia="zh-CN"/>
        </w:rPr>
        <w:t>如何充分运用现有机制，发挥基层治理效能</w:t>
      </w:r>
      <w:r>
        <w:rPr>
          <w:rFonts w:hint="eastAsia" w:ascii="Times New Roman" w:hAnsi="Times New Roman" w:eastAsia="方正仿宋_GBK" w:cs="Times New Roman"/>
          <w:color w:val="000000"/>
          <w:spacing w:val="11"/>
          <w:sz w:val="32"/>
          <w:szCs w:val="32"/>
          <w:highlight w:val="none"/>
          <w:u w:val="none"/>
          <w:lang w:val="en-US" w:eastAsia="zh-CN"/>
        </w:rPr>
        <w:t>”</w:t>
      </w:r>
      <w:r>
        <w:rPr>
          <w:rFonts w:hint="default" w:ascii="Times New Roman" w:hAnsi="Times New Roman" w:eastAsia="方正仿宋_GBK" w:cs="Times New Roman"/>
          <w:color w:val="000000"/>
          <w:spacing w:val="11"/>
          <w:sz w:val="32"/>
          <w:szCs w:val="32"/>
          <w:highlight w:val="none"/>
          <w:u w:val="none"/>
          <w:lang w:val="en-US" w:eastAsia="zh-CN"/>
        </w:rPr>
        <w:t>方面认识不到位、运用不够熟练。</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六、</w:t>
      </w:r>
      <w:r>
        <w:rPr>
          <w:rStyle w:val="9"/>
          <w:rFonts w:hint="eastAsia" w:ascii="黑体" w:hAnsi="黑体" w:eastAsia="黑体" w:cs="黑体"/>
          <w:b w:val="0"/>
          <w:bCs w:val="0"/>
          <w:color w:val="auto"/>
          <w:spacing w:val="-4"/>
          <w:sz w:val="32"/>
          <w:szCs w:val="32"/>
          <w:highlight w:val="none"/>
        </w:rPr>
        <w:t>改进措施和建议</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Style w:val="9"/>
          <w:rFonts w:hint="default" w:ascii="仿宋" w:hAnsi="仿宋" w:eastAsia="仿宋" w:cs="仿宋"/>
          <w:b w:val="0"/>
          <w:bCs w:val="0"/>
          <w:color w:val="auto"/>
          <w:spacing w:val="-4"/>
          <w:sz w:val="32"/>
          <w:szCs w:val="32"/>
          <w:highlight w:val="none"/>
          <w:lang w:val="en-US" w:eastAsia="zh-CN"/>
        </w:rPr>
      </w:pPr>
      <w:r>
        <w:rPr>
          <w:rFonts w:hint="eastAsia" w:ascii="Times New Roman" w:hAnsi="Times New Roman" w:eastAsia="方正楷体_GBK" w:cs="Times New Roman"/>
          <w:color w:val="auto"/>
          <w:spacing w:val="0"/>
          <w:w w:val="100"/>
          <w:kern w:val="2"/>
          <w:position w:val="0"/>
          <w:sz w:val="32"/>
          <w:szCs w:val="32"/>
          <w:highlight w:val="none"/>
          <w:shd w:val="clear" w:color="auto" w:fill="auto"/>
          <w:lang w:val="en-US" w:eastAsia="zh-CN" w:bidi="ar-SA"/>
        </w:rPr>
        <w:t>一是</w:t>
      </w:r>
      <w:r>
        <w:rPr>
          <w:rFonts w:hint="default" w:ascii="Times New Roman" w:hAnsi="Times New Roman" w:eastAsia="方正楷体_GBK" w:cs="Times New Roman"/>
          <w:color w:val="auto"/>
          <w:spacing w:val="0"/>
          <w:w w:val="100"/>
          <w:kern w:val="2"/>
          <w:position w:val="0"/>
          <w:sz w:val="32"/>
          <w:szCs w:val="32"/>
          <w:highlight w:val="none"/>
          <w:shd w:val="clear" w:color="auto" w:fill="auto"/>
          <w:lang w:val="en-US" w:eastAsia="zh-CN" w:bidi="ar-SA"/>
        </w:rPr>
        <w:t>坚持安全发展，狠抓安全生产责任。</w:t>
      </w:r>
      <w:r>
        <w:rPr>
          <w:rFonts w:hint="default" w:ascii="Times New Roman" w:hAnsi="Times New Roman" w:eastAsia="方正仿宋_GBK" w:cs="Times New Roman"/>
          <w:b w:val="0"/>
          <w:bCs w:val="0"/>
          <w:color w:val="auto"/>
          <w:spacing w:val="11"/>
          <w:sz w:val="32"/>
          <w:szCs w:val="32"/>
          <w:highlight w:val="none"/>
          <w:u w:val="none"/>
          <w:lang w:val="en-US" w:eastAsia="zh-CN"/>
        </w:rPr>
        <w:t>把安全生产作为一项长期艰巨的重要任务，警钟长鸣，常抓不懈。</w:t>
      </w:r>
      <w:r>
        <w:rPr>
          <w:rFonts w:hint="eastAsia" w:ascii="Times New Roman" w:hAnsi="Times New Roman" w:eastAsia="方正楷体_GBK" w:cs="Times New Roman"/>
          <w:color w:val="auto"/>
          <w:spacing w:val="0"/>
          <w:w w:val="100"/>
          <w:kern w:val="2"/>
          <w:position w:val="0"/>
          <w:sz w:val="32"/>
          <w:szCs w:val="32"/>
          <w:highlight w:val="none"/>
          <w:shd w:val="clear" w:color="auto" w:fill="auto"/>
          <w:lang w:val="en-US" w:eastAsia="zh-CN" w:bidi="ar-SA"/>
        </w:rPr>
        <w:t>二是</w:t>
      </w:r>
      <w:r>
        <w:rPr>
          <w:rFonts w:hint="default" w:ascii="Times New Roman" w:hAnsi="Times New Roman" w:eastAsia="方正楷体_GBK" w:cs="Times New Roman"/>
          <w:b w:val="0"/>
          <w:bCs w:val="0"/>
          <w:color w:val="auto"/>
          <w:spacing w:val="4"/>
          <w:sz w:val="32"/>
          <w:szCs w:val="32"/>
          <w:highlight w:val="none"/>
        </w:rPr>
        <w:t>聚力改善民生</w:t>
      </w:r>
      <w:r>
        <w:rPr>
          <w:rFonts w:hint="default" w:ascii="Times New Roman" w:hAnsi="Times New Roman" w:eastAsia="方正楷体_GBK" w:cs="Times New Roman"/>
          <w:b w:val="0"/>
          <w:bCs w:val="0"/>
          <w:color w:val="auto"/>
          <w:spacing w:val="4"/>
          <w:sz w:val="32"/>
          <w:szCs w:val="32"/>
          <w:highlight w:val="none"/>
          <w:lang w:eastAsia="zh-CN"/>
        </w:rPr>
        <w:t>，</w:t>
      </w:r>
      <w:r>
        <w:rPr>
          <w:rFonts w:hint="default" w:ascii="Times New Roman" w:hAnsi="Times New Roman" w:eastAsia="方正楷体_GBK" w:cs="Times New Roman"/>
          <w:b w:val="0"/>
          <w:bCs w:val="0"/>
          <w:color w:val="auto"/>
          <w:spacing w:val="4"/>
          <w:sz w:val="32"/>
          <w:szCs w:val="32"/>
          <w:highlight w:val="none"/>
        </w:rPr>
        <w:t>促进</w:t>
      </w:r>
      <w:r>
        <w:rPr>
          <w:rFonts w:hint="default" w:ascii="Times New Roman" w:hAnsi="Times New Roman" w:eastAsia="方正楷体_GBK" w:cs="Times New Roman"/>
          <w:b w:val="0"/>
          <w:bCs w:val="0"/>
          <w:color w:val="auto"/>
          <w:spacing w:val="4"/>
          <w:sz w:val="32"/>
          <w:szCs w:val="32"/>
          <w:highlight w:val="none"/>
          <w:lang w:val="en-US" w:eastAsia="zh-CN"/>
        </w:rPr>
        <w:t>基层治理</w:t>
      </w:r>
      <w:r>
        <w:rPr>
          <w:rFonts w:hint="default" w:ascii="Times New Roman" w:hAnsi="Times New Roman" w:eastAsia="方正楷体_GBK" w:cs="Times New Roman"/>
          <w:b w:val="0"/>
          <w:bCs w:val="0"/>
          <w:color w:val="auto"/>
          <w:spacing w:val="4"/>
          <w:sz w:val="32"/>
          <w:szCs w:val="32"/>
          <w:highlight w:val="none"/>
        </w:rPr>
        <w:t>发展。</w:t>
      </w:r>
      <w:r>
        <w:rPr>
          <w:rFonts w:hint="default" w:ascii="Times New Roman" w:hAnsi="Times New Roman" w:eastAsia="方正仿宋_GBK" w:cs="Times New Roman"/>
          <w:spacing w:val="-4"/>
          <w:kern w:val="0"/>
          <w:sz w:val="32"/>
          <w:szCs w:val="32"/>
          <w:highlight w:val="none"/>
          <w:lang w:val="en-US" w:eastAsia="zh-CN"/>
        </w:rPr>
        <w:t>持续整合资金、阵地、资源、项目等，</w:t>
      </w:r>
      <w:r>
        <w:rPr>
          <w:rFonts w:hint="default" w:ascii="Times New Roman" w:hAnsi="Times New Roman" w:eastAsia="方正仿宋_GBK" w:cs="Times New Roman"/>
          <w:color w:val="auto"/>
          <w:sz w:val="32"/>
          <w:szCs w:val="32"/>
          <w:highlight w:val="none"/>
          <w:lang w:val="en-US" w:eastAsia="zh-CN"/>
        </w:rPr>
        <w:t>推进一批基层社会治理试点。</w:t>
      </w:r>
      <w:r>
        <w:rPr>
          <w:rFonts w:hint="eastAsia" w:ascii="Times New Roman" w:hAnsi="Times New Roman" w:eastAsia="方正楷体_GBK" w:cs="Times New Roman"/>
          <w:color w:val="auto"/>
          <w:spacing w:val="0"/>
          <w:w w:val="100"/>
          <w:kern w:val="2"/>
          <w:position w:val="0"/>
          <w:sz w:val="32"/>
          <w:szCs w:val="32"/>
          <w:highlight w:val="none"/>
          <w:shd w:val="clear" w:color="auto" w:fill="auto"/>
          <w:lang w:val="en-US" w:eastAsia="zh-CN" w:bidi="ar-SA"/>
        </w:rPr>
        <w:t>三是</w:t>
      </w:r>
      <w:r>
        <w:rPr>
          <w:rFonts w:hint="default" w:ascii="Times New Roman" w:hAnsi="Times New Roman" w:eastAsia="方正楷体_GBK" w:cs="Times New Roman"/>
          <w:b w:val="0"/>
          <w:bCs/>
          <w:color w:val="auto"/>
          <w:sz w:val="32"/>
          <w:szCs w:val="32"/>
          <w:highlight w:val="none"/>
          <w:lang w:val="en-US" w:eastAsia="zh-CN"/>
        </w:rPr>
        <w:t>着力基层党建，加强基层组织建设。</w:t>
      </w:r>
      <w:r>
        <w:rPr>
          <w:rFonts w:hint="default" w:ascii="Times New Roman" w:hAnsi="Times New Roman" w:eastAsia="方正仿宋_GBK" w:cs="Times New Roman"/>
          <w:color w:val="auto"/>
          <w:sz w:val="32"/>
          <w:szCs w:val="32"/>
          <w:highlight w:val="none"/>
          <w:lang w:val="en-US" w:eastAsia="zh-CN"/>
        </w:rPr>
        <w:t>常抓思想建设的</w:t>
      </w:r>
      <w:r>
        <w:rPr>
          <w:rFonts w:hint="eastAsia" w:ascii="Times New Roman" w:hAnsi="Times New Roman" w:eastAsia="方正仿宋_GBK" w:cs="Times New Roman"/>
          <w:color w:val="auto"/>
          <w:sz w:val="32"/>
          <w:szCs w:val="32"/>
          <w:highlight w:val="none"/>
          <w:lang w:val="en-US" w:eastAsia="zh-CN"/>
        </w:rPr>
        <w:t>“</w:t>
      </w:r>
      <w:r>
        <w:rPr>
          <w:rFonts w:hint="default" w:ascii="Times New Roman" w:hAnsi="Times New Roman" w:eastAsia="方正仿宋_GBK" w:cs="Times New Roman"/>
          <w:color w:val="auto"/>
          <w:sz w:val="32"/>
          <w:szCs w:val="32"/>
          <w:highlight w:val="none"/>
          <w:lang w:val="en-US" w:eastAsia="zh-CN"/>
        </w:rPr>
        <w:t>龙头</w:t>
      </w:r>
      <w:r>
        <w:rPr>
          <w:rFonts w:hint="eastAsia" w:ascii="Times New Roman" w:hAnsi="Times New Roman" w:eastAsia="方正仿宋_GBK" w:cs="Times New Roman"/>
          <w:color w:val="auto"/>
          <w:sz w:val="32"/>
          <w:szCs w:val="32"/>
          <w:highlight w:val="none"/>
          <w:lang w:val="en-US" w:eastAsia="zh-CN"/>
        </w:rPr>
        <w:t>”</w:t>
      </w:r>
      <w:r>
        <w:rPr>
          <w:rFonts w:hint="default" w:ascii="Times New Roman" w:hAnsi="Times New Roman" w:eastAsia="方正仿宋_GBK" w:cs="Times New Roman"/>
          <w:color w:val="auto"/>
          <w:sz w:val="32"/>
          <w:szCs w:val="32"/>
          <w:highlight w:val="none"/>
          <w:lang w:val="en-US" w:eastAsia="zh-CN"/>
        </w:rPr>
        <w:t>、稳住基层建设</w:t>
      </w:r>
      <w:r>
        <w:rPr>
          <w:rFonts w:hint="eastAsia" w:ascii="Times New Roman" w:hAnsi="Times New Roman" w:eastAsia="方正仿宋_GBK" w:cs="Times New Roman"/>
          <w:color w:val="auto"/>
          <w:sz w:val="32"/>
          <w:szCs w:val="32"/>
          <w:highlight w:val="none"/>
          <w:lang w:val="en-US" w:eastAsia="zh-CN"/>
        </w:rPr>
        <w:t>“</w:t>
      </w:r>
      <w:r>
        <w:rPr>
          <w:rFonts w:hint="default" w:ascii="Times New Roman" w:hAnsi="Times New Roman" w:eastAsia="方正仿宋_GBK" w:cs="Times New Roman"/>
          <w:color w:val="auto"/>
          <w:sz w:val="32"/>
          <w:szCs w:val="32"/>
          <w:highlight w:val="none"/>
          <w:lang w:val="en-US" w:eastAsia="zh-CN"/>
        </w:rPr>
        <w:t>底盘</w:t>
      </w:r>
      <w:r>
        <w:rPr>
          <w:rFonts w:hint="eastAsia" w:ascii="Times New Roman" w:hAnsi="Times New Roman" w:eastAsia="方正仿宋_GBK" w:cs="Times New Roman"/>
          <w:color w:val="auto"/>
          <w:sz w:val="32"/>
          <w:szCs w:val="32"/>
          <w:highlight w:val="none"/>
          <w:lang w:val="en-US" w:eastAsia="zh-CN"/>
        </w:rPr>
        <w:t>”</w:t>
      </w:r>
      <w:r>
        <w:rPr>
          <w:rFonts w:hint="default" w:ascii="Times New Roman" w:hAnsi="Times New Roman" w:eastAsia="方正仿宋_GBK" w:cs="Times New Roman"/>
          <w:color w:val="auto"/>
          <w:sz w:val="32"/>
          <w:szCs w:val="32"/>
          <w:highlight w:val="none"/>
          <w:lang w:val="en-US" w:eastAsia="zh-CN"/>
        </w:rPr>
        <w:t xml:space="preserve">、活络队伍建设 </w:t>
      </w:r>
      <w:r>
        <w:rPr>
          <w:rFonts w:hint="eastAsia" w:ascii="Times New Roman" w:hAnsi="Times New Roman" w:eastAsia="方正仿宋_GBK" w:cs="Times New Roman"/>
          <w:color w:val="auto"/>
          <w:sz w:val="32"/>
          <w:szCs w:val="32"/>
          <w:highlight w:val="none"/>
          <w:lang w:val="en-US" w:eastAsia="zh-CN"/>
        </w:rPr>
        <w:t>“</w:t>
      </w:r>
      <w:r>
        <w:rPr>
          <w:rFonts w:hint="default" w:ascii="Times New Roman" w:hAnsi="Times New Roman" w:eastAsia="方正仿宋_GBK" w:cs="Times New Roman"/>
          <w:color w:val="auto"/>
          <w:sz w:val="32"/>
          <w:szCs w:val="32"/>
          <w:highlight w:val="none"/>
          <w:lang w:val="en-US" w:eastAsia="zh-CN"/>
        </w:rPr>
        <w:t>筋脉</w:t>
      </w:r>
      <w:r>
        <w:rPr>
          <w:rFonts w:hint="eastAsia" w:ascii="Times New Roman" w:hAnsi="Times New Roman" w:eastAsia="方正仿宋_GBK" w:cs="Times New Roman"/>
          <w:color w:val="auto"/>
          <w:sz w:val="32"/>
          <w:szCs w:val="32"/>
          <w:highlight w:val="none"/>
          <w:lang w:val="en-US" w:eastAsia="zh-CN"/>
        </w:rPr>
        <w:t>”</w:t>
      </w:r>
      <w:r>
        <w:rPr>
          <w:rFonts w:hint="default" w:ascii="Times New Roman" w:hAnsi="Times New Roman" w:eastAsia="方正仿宋_GBK" w:cs="Times New Roman"/>
          <w:color w:val="auto"/>
          <w:sz w:val="32"/>
          <w:szCs w:val="32"/>
          <w:highlight w:val="none"/>
          <w:lang w:val="en-US" w:eastAsia="zh-CN"/>
        </w:rPr>
        <w:t>，</w:t>
      </w:r>
      <w:r>
        <w:rPr>
          <w:rFonts w:hint="default" w:ascii="Times New Roman" w:hAnsi="Times New Roman" w:eastAsia="方正仿宋_GBK" w:cs="Times New Roman"/>
          <w:color w:val="auto"/>
          <w:sz w:val="32"/>
          <w:szCs w:val="32"/>
          <w:highlight w:val="none"/>
          <w:lang w:eastAsia="zh-CN"/>
        </w:rPr>
        <w:t>不断提高党组织的创造力、凝聚力和战斗力</w:t>
      </w:r>
      <w:r>
        <w:rPr>
          <w:rFonts w:hint="default" w:ascii="Times New Roman" w:hAnsi="Times New Roman" w:eastAsia="方正仿宋_GBK" w:cs="Times New Roman"/>
          <w:color w:val="auto"/>
          <w:sz w:val="32"/>
          <w:szCs w:val="32"/>
          <w:highlight w:val="none"/>
          <w:lang w:val="en-US" w:eastAsia="zh-CN"/>
        </w:rPr>
        <w:t>。</w:t>
      </w:r>
      <w:r>
        <w:rPr>
          <w:rFonts w:hint="eastAsia" w:ascii="Times New Roman" w:hAnsi="Times New Roman" w:eastAsia="方正楷体_GBK" w:cs="Times New Roman"/>
          <w:b w:val="0"/>
          <w:bCs/>
          <w:color w:val="auto"/>
          <w:kern w:val="0"/>
          <w:sz w:val="32"/>
          <w:szCs w:val="32"/>
          <w:highlight w:val="none"/>
          <w:lang w:val="en-US" w:eastAsia="zh-CN" w:bidi="ar-SA"/>
        </w:rPr>
        <w:t>四是</w:t>
      </w:r>
      <w:r>
        <w:rPr>
          <w:rFonts w:hint="default" w:ascii="Times New Roman" w:hAnsi="Times New Roman" w:eastAsia="方正楷体_GBK" w:cs="Times New Roman"/>
          <w:b w:val="0"/>
          <w:bCs/>
          <w:color w:val="auto"/>
          <w:kern w:val="0"/>
          <w:sz w:val="32"/>
          <w:szCs w:val="32"/>
          <w:highlight w:val="none"/>
          <w:lang w:val="en-US" w:eastAsia="zh-CN" w:bidi="ar-SA"/>
        </w:rPr>
        <w:t>推进文化润疆，掌握意识形态主权。</w:t>
      </w:r>
      <w:r>
        <w:rPr>
          <w:rFonts w:hint="default" w:ascii="Times New Roman" w:hAnsi="Times New Roman" w:eastAsia="华文仿宋" w:cs="Times New Roman"/>
          <w:sz w:val="31"/>
          <w:szCs w:val="31"/>
          <w:highlight w:val="none"/>
          <w:lang w:val="en-US" w:eastAsia="zh-CN"/>
        </w:rPr>
        <w:t>全面深入实施文化润疆工程，把握重要方向，牢牢掌握意识形态工作领导权、主动权、话语权。</w:t>
      </w:r>
      <w:r>
        <w:rPr>
          <w:rFonts w:hint="eastAsia" w:ascii="Times New Roman" w:hAnsi="Times New Roman" w:eastAsia="方正楷体_GBK" w:cs="Times New Roman"/>
          <w:b w:val="0"/>
          <w:bCs/>
          <w:color w:val="auto"/>
          <w:kern w:val="0"/>
          <w:sz w:val="32"/>
          <w:szCs w:val="32"/>
          <w:highlight w:val="none"/>
          <w:lang w:val="en-US" w:eastAsia="zh-CN" w:bidi="ar-SA"/>
        </w:rPr>
        <w:t>五是</w:t>
      </w:r>
      <w:r>
        <w:rPr>
          <w:rFonts w:hint="default" w:ascii="Times New Roman" w:hAnsi="Times New Roman" w:eastAsia="方正楷体_GBK" w:cs="Times New Roman"/>
          <w:b w:val="0"/>
          <w:bCs/>
          <w:snapToGrid w:val="0"/>
          <w:color w:val="auto"/>
          <w:spacing w:val="8"/>
          <w:sz w:val="32"/>
          <w:szCs w:val="32"/>
          <w:highlight w:val="none"/>
          <w:lang w:val="en-US" w:eastAsia="zh-CN"/>
        </w:rPr>
        <w:t>突出作风转变</w:t>
      </w:r>
      <w:r>
        <w:rPr>
          <w:rFonts w:hint="default" w:ascii="Times New Roman" w:hAnsi="Times New Roman" w:eastAsia="方正楷体_GBK" w:cs="Times New Roman"/>
          <w:b w:val="0"/>
          <w:bCs/>
          <w:snapToGrid w:val="0"/>
          <w:color w:val="auto"/>
          <w:spacing w:val="8"/>
          <w:sz w:val="32"/>
          <w:szCs w:val="32"/>
          <w:highlight w:val="none"/>
          <w:lang w:eastAsia="zh-CN"/>
        </w:rPr>
        <w:t>，</w:t>
      </w:r>
      <w:r>
        <w:rPr>
          <w:rFonts w:hint="default" w:ascii="Times New Roman" w:hAnsi="Times New Roman" w:eastAsia="方正楷体_GBK" w:cs="Times New Roman"/>
          <w:b w:val="0"/>
          <w:bCs/>
          <w:snapToGrid w:val="0"/>
          <w:color w:val="auto"/>
          <w:spacing w:val="8"/>
          <w:sz w:val="32"/>
          <w:szCs w:val="32"/>
          <w:highlight w:val="none"/>
          <w:lang w:val="en-US" w:eastAsia="zh-CN"/>
        </w:rPr>
        <w:t>落实党风廉政建设。</w:t>
      </w:r>
      <w:r>
        <w:rPr>
          <w:rFonts w:hint="default" w:ascii="Times New Roman" w:hAnsi="Times New Roman" w:eastAsia="华文仿宋" w:cs="Times New Roman"/>
          <w:sz w:val="31"/>
          <w:szCs w:val="31"/>
          <w:highlight w:val="none"/>
          <w:lang w:val="en-US" w:eastAsia="zh-CN"/>
        </w:rPr>
        <w:t>加强党风廉政建设，强化干部职工作风建设，提升工作效能，努力为街道社区建设提供有力的思想保证和坚实的纪律保障。</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七、</w:t>
      </w:r>
      <w:r>
        <w:rPr>
          <w:rStyle w:val="9"/>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7D08FF0-3260-43FD-9741-D9DF2065FB0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21B5CB3B-A2FF-4952-A40E-D103B3D2F7D3}"/>
  </w:font>
  <w:font w:name="仿宋_GB2312">
    <w:panose1 w:val="02010609030101010101"/>
    <w:charset w:val="86"/>
    <w:family w:val="modern"/>
    <w:pitch w:val="default"/>
    <w:sig w:usb0="00000001" w:usb1="080E0000" w:usb2="00000000" w:usb3="00000000" w:csb0="00040000" w:csb1="00000000"/>
    <w:embedRegular r:id="rId3" w:fontKey="{CFB46AD0-3B5A-485C-90D9-064335F2B6C3}"/>
  </w:font>
  <w:font w:name="方正仿宋_GBK">
    <w:panose1 w:val="03000509000000000000"/>
    <w:charset w:val="86"/>
    <w:family w:val="script"/>
    <w:pitch w:val="default"/>
    <w:sig w:usb0="00000001" w:usb1="080E0000" w:usb2="00000000" w:usb3="00000000" w:csb0="00040000" w:csb1="00000000"/>
    <w:embedRegular r:id="rId4" w:fontKey="{7829BC83-1F10-4AF4-A5F9-3F91408D21FA}"/>
  </w:font>
  <w:font w:name="楷体">
    <w:panose1 w:val="02010609060101010101"/>
    <w:charset w:val="86"/>
    <w:family w:val="modern"/>
    <w:pitch w:val="default"/>
    <w:sig w:usb0="800002BF" w:usb1="38CF7CFA" w:usb2="00000016" w:usb3="00000000" w:csb0="00040001" w:csb1="00000000"/>
    <w:embedRegular r:id="rId5" w:fontKey="{6F002B9B-8F54-4D6F-9A30-7725B66E0293}"/>
  </w:font>
  <w:font w:name="方正楷体_GBK">
    <w:panose1 w:val="03000509000000000000"/>
    <w:charset w:val="86"/>
    <w:family w:val="auto"/>
    <w:pitch w:val="default"/>
    <w:sig w:usb0="00000001" w:usb1="080E0000" w:usb2="00000000" w:usb3="00000000" w:csb0="00040000" w:csb1="00000000"/>
    <w:embedRegular r:id="rId6" w:fontKey="{9732ECD3-980D-4210-9658-763955C94121}"/>
  </w:font>
  <w:font w:name="华文仿宋">
    <w:panose1 w:val="02010600040101010101"/>
    <w:charset w:val="86"/>
    <w:family w:val="auto"/>
    <w:pitch w:val="default"/>
    <w:sig w:usb0="00000287" w:usb1="080F0000" w:usb2="00000000" w:usb3="00000000" w:csb0="0004009F" w:csb1="DFD70000"/>
    <w:embedRegular r:id="rId7" w:fontKey="{C034565B-4E5C-4326-9898-32810AFE3AB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zZGJiMzk3NmE4MTFmY2I0NmVkOTVhODY4OTk3OTc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1E1FE4"/>
    <w:rsid w:val="016D0077"/>
    <w:rsid w:val="02355837"/>
    <w:rsid w:val="023B0973"/>
    <w:rsid w:val="02610413"/>
    <w:rsid w:val="02F163A2"/>
    <w:rsid w:val="02FE786C"/>
    <w:rsid w:val="03341650"/>
    <w:rsid w:val="036F2FCB"/>
    <w:rsid w:val="03B2599D"/>
    <w:rsid w:val="043C5F8E"/>
    <w:rsid w:val="049941F3"/>
    <w:rsid w:val="04A60F90"/>
    <w:rsid w:val="04D2103C"/>
    <w:rsid w:val="04D550AF"/>
    <w:rsid w:val="06B83B39"/>
    <w:rsid w:val="06DE29E2"/>
    <w:rsid w:val="071579E5"/>
    <w:rsid w:val="07702E6D"/>
    <w:rsid w:val="07A86AAB"/>
    <w:rsid w:val="07C65825"/>
    <w:rsid w:val="08760957"/>
    <w:rsid w:val="09067414"/>
    <w:rsid w:val="09170A81"/>
    <w:rsid w:val="0926412B"/>
    <w:rsid w:val="09496ABE"/>
    <w:rsid w:val="0956190A"/>
    <w:rsid w:val="0AC27E84"/>
    <w:rsid w:val="0B0F5B25"/>
    <w:rsid w:val="0BB91287"/>
    <w:rsid w:val="0BD256C9"/>
    <w:rsid w:val="0D3F0613"/>
    <w:rsid w:val="0D617282"/>
    <w:rsid w:val="0E4336A1"/>
    <w:rsid w:val="0E9218C4"/>
    <w:rsid w:val="0F661726"/>
    <w:rsid w:val="0F772EC6"/>
    <w:rsid w:val="0F877334"/>
    <w:rsid w:val="10182B28"/>
    <w:rsid w:val="107E2A9F"/>
    <w:rsid w:val="109160DD"/>
    <w:rsid w:val="10947BCD"/>
    <w:rsid w:val="114B3E5E"/>
    <w:rsid w:val="115E3FEE"/>
    <w:rsid w:val="116B384E"/>
    <w:rsid w:val="11DD16C8"/>
    <w:rsid w:val="127A77C1"/>
    <w:rsid w:val="12A91DFC"/>
    <w:rsid w:val="12C034B5"/>
    <w:rsid w:val="1303728B"/>
    <w:rsid w:val="130A20A3"/>
    <w:rsid w:val="13352CE1"/>
    <w:rsid w:val="13E07D60"/>
    <w:rsid w:val="145E0836"/>
    <w:rsid w:val="146B6CFB"/>
    <w:rsid w:val="150177FB"/>
    <w:rsid w:val="15475E0E"/>
    <w:rsid w:val="15875F52"/>
    <w:rsid w:val="15B73666"/>
    <w:rsid w:val="15C42D02"/>
    <w:rsid w:val="168A2EA6"/>
    <w:rsid w:val="16930926"/>
    <w:rsid w:val="17D5194F"/>
    <w:rsid w:val="180A4FDB"/>
    <w:rsid w:val="1840056E"/>
    <w:rsid w:val="192177D8"/>
    <w:rsid w:val="196A001E"/>
    <w:rsid w:val="198331C0"/>
    <w:rsid w:val="19AD1CFF"/>
    <w:rsid w:val="19C92FDD"/>
    <w:rsid w:val="19DB061A"/>
    <w:rsid w:val="19E576EB"/>
    <w:rsid w:val="19FF664E"/>
    <w:rsid w:val="1A091F78"/>
    <w:rsid w:val="1A6D6D72"/>
    <w:rsid w:val="1AEB4D61"/>
    <w:rsid w:val="1C230AC0"/>
    <w:rsid w:val="1C615CEF"/>
    <w:rsid w:val="1CDA72AF"/>
    <w:rsid w:val="1D632B53"/>
    <w:rsid w:val="1D75190B"/>
    <w:rsid w:val="1D7602A9"/>
    <w:rsid w:val="1DC83D3D"/>
    <w:rsid w:val="1E613949"/>
    <w:rsid w:val="1EAE0073"/>
    <w:rsid w:val="1F195A2C"/>
    <w:rsid w:val="205102FB"/>
    <w:rsid w:val="20762FC4"/>
    <w:rsid w:val="212C60E2"/>
    <w:rsid w:val="21DB6E7F"/>
    <w:rsid w:val="21DE15EF"/>
    <w:rsid w:val="23021A8B"/>
    <w:rsid w:val="2320540D"/>
    <w:rsid w:val="23254B60"/>
    <w:rsid w:val="236E0539"/>
    <w:rsid w:val="23E6478B"/>
    <w:rsid w:val="2422471A"/>
    <w:rsid w:val="24A85EE5"/>
    <w:rsid w:val="24DB72C2"/>
    <w:rsid w:val="263962DE"/>
    <w:rsid w:val="26CD1C32"/>
    <w:rsid w:val="271D04C4"/>
    <w:rsid w:val="276460F3"/>
    <w:rsid w:val="27660FAF"/>
    <w:rsid w:val="277166D1"/>
    <w:rsid w:val="277B4318"/>
    <w:rsid w:val="279369D8"/>
    <w:rsid w:val="27B25F6A"/>
    <w:rsid w:val="27B7194D"/>
    <w:rsid w:val="27E37B45"/>
    <w:rsid w:val="280600C8"/>
    <w:rsid w:val="28081174"/>
    <w:rsid w:val="28481571"/>
    <w:rsid w:val="28722F64"/>
    <w:rsid w:val="289B5D70"/>
    <w:rsid w:val="290A1EBC"/>
    <w:rsid w:val="296B40D0"/>
    <w:rsid w:val="29980ADF"/>
    <w:rsid w:val="29AD455F"/>
    <w:rsid w:val="29B460DC"/>
    <w:rsid w:val="29D532D8"/>
    <w:rsid w:val="29E74DB9"/>
    <w:rsid w:val="2A0B6FEB"/>
    <w:rsid w:val="2A2A3694"/>
    <w:rsid w:val="2A645643"/>
    <w:rsid w:val="2A6B1740"/>
    <w:rsid w:val="2AB71864"/>
    <w:rsid w:val="2AD30362"/>
    <w:rsid w:val="2B161A0E"/>
    <w:rsid w:val="2B1D67DB"/>
    <w:rsid w:val="2B2D4A4E"/>
    <w:rsid w:val="2BCA3DF7"/>
    <w:rsid w:val="2BFA5278"/>
    <w:rsid w:val="2C3F44FD"/>
    <w:rsid w:val="2C8903AA"/>
    <w:rsid w:val="2CD01740"/>
    <w:rsid w:val="2CE43832"/>
    <w:rsid w:val="2CF717B7"/>
    <w:rsid w:val="2DAA6B58"/>
    <w:rsid w:val="2DB034FA"/>
    <w:rsid w:val="2E4A4A48"/>
    <w:rsid w:val="2F8715FA"/>
    <w:rsid w:val="2FB43990"/>
    <w:rsid w:val="2FC040E2"/>
    <w:rsid w:val="300E12F2"/>
    <w:rsid w:val="30143D58"/>
    <w:rsid w:val="30240D0F"/>
    <w:rsid w:val="308158E7"/>
    <w:rsid w:val="309817B5"/>
    <w:rsid w:val="30A86679"/>
    <w:rsid w:val="30CD2F5B"/>
    <w:rsid w:val="31505F30"/>
    <w:rsid w:val="3177520D"/>
    <w:rsid w:val="31C7249B"/>
    <w:rsid w:val="31D129DF"/>
    <w:rsid w:val="31FB7654"/>
    <w:rsid w:val="32565D7D"/>
    <w:rsid w:val="32EB591A"/>
    <w:rsid w:val="336E47B8"/>
    <w:rsid w:val="337D2302"/>
    <w:rsid w:val="33935522"/>
    <w:rsid w:val="33DE0EF4"/>
    <w:rsid w:val="3416678C"/>
    <w:rsid w:val="34486A39"/>
    <w:rsid w:val="34C13400"/>
    <w:rsid w:val="34F32864"/>
    <w:rsid w:val="35386E11"/>
    <w:rsid w:val="35612ABD"/>
    <w:rsid w:val="3626591C"/>
    <w:rsid w:val="368C2F70"/>
    <w:rsid w:val="375B2943"/>
    <w:rsid w:val="38086A4E"/>
    <w:rsid w:val="38C32119"/>
    <w:rsid w:val="38EE054F"/>
    <w:rsid w:val="39440A0C"/>
    <w:rsid w:val="39683E29"/>
    <w:rsid w:val="398443D3"/>
    <w:rsid w:val="398B5761"/>
    <w:rsid w:val="398C3287"/>
    <w:rsid w:val="39A60AF6"/>
    <w:rsid w:val="3A323E2F"/>
    <w:rsid w:val="3A3756D5"/>
    <w:rsid w:val="3AA12D62"/>
    <w:rsid w:val="3B2319C9"/>
    <w:rsid w:val="3B5D5890"/>
    <w:rsid w:val="3B716BD9"/>
    <w:rsid w:val="3BA6683D"/>
    <w:rsid w:val="3BC431AC"/>
    <w:rsid w:val="3BFA0C0F"/>
    <w:rsid w:val="3C012639"/>
    <w:rsid w:val="3DA52B6A"/>
    <w:rsid w:val="3E833FCF"/>
    <w:rsid w:val="3EE3321B"/>
    <w:rsid w:val="3EE93EED"/>
    <w:rsid w:val="3F177A97"/>
    <w:rsid w:val="3FF57BF1"/>
    <w:rsid w:val="41590DEA"/>
    <w:rsid w:val="41685204"/>
    <w:rsid w:val="416C231C"/>
    <w:rsid w:val="41C31810"/>
    <w:rsid w:val="41D659E7"/>
    <w:rsid w:val="422169D8"/>
    <w:rsid w:val="428A15BF"/>
    <w:rsid w:val="42BB7663"/>
    <w:rsid w:val="432A3936"/>
    <w:rsid w:val="434765EB"/>
    <w:rsid w:val="43A3164E"/>
    <w:rsid w:val="43C43532"/>
    <w:rsid w:val="43F77637"/>
    <w:rsid w:val="44332E1A"/>
    <w:rsid w:val="44692B43"/>
    <w:rsid w:val="447068EB"/>
    <w:rsid w:val="44BF2CE3"/>
    <w:rsid w:val="44BF6C07"/>
    <w:rsid w:val="462036D5"/>
    <w:rsid w:val="462C7B1B"/>
    <w:rsid w:val="46BF2EEE"/>
    <w:rsid w:val="47013FF5"/>
    <w:rsid w:val="484A2C8B"/>
    <w:rsid w:val="48500FEB"/>
    <w:rsid w:val="49284D7B"/>
    <w:rsid w:val="49487285"/>
    <w:rsid w:val="49543DC1"/>
    <w:rsid w:val="4A0F39E7"/>
    <w:rsid w:val="4B364032"/>
    <w:rsid w:val="4B3B68BB"/>
    <w:rsid w:val="4B443785"/>
    <w:rsid w:val="4B537C75"/>
    <w:rsid w:val="4BE53646"/>
    <w:rsid w:val="4C26756B"/>
    <w:rsid w:val="4C431ECB"/>
    <w:rsid w:val="4CC33C9F"/>
    <w:rsid w:val="4E760D0B"/>
    <w:rsid w:val="4E8F65E3"/>
    <w:rsid w:val="4EC80245"/>
    <w:rsid w:val="4ED65AC3"/>
    <w:rsid w:val="4F5956C2"/>
    <w:rsid w:val="4F596A69"/>
    <w:rsid w:val="50063DD3"/>
    <w:rsid w:val="504133D8"/>
    <w:rsid w:val="505863A4"/>
    <w:rsid w:val="50591CBD"/>
    <w:rsid w:val="50A240F7"/>
    <w:rsid w:val="51971C1E"/>
    <w:rsid w:val="51FF2E33"/>
    <w:rsid w:val="525877BC"/>
    <w:rsid w:val="5272504D"/>
    <w:rsid w:val="52CA50F4"/>
    <w:rsid w:val="5391230A"/>
    <w:rsid w:val="543D24BF"/>
    <w:rsid w:val="548754B8"/>
    <w:rsid w:val="54CA318A"/>
    <w:rsid w:val="55517AB0"/>
    <w:rsid w:val="57192BB8"/>
    <w:rsid w:val="5734671F"/>
    <w:rsid w:val="57423EBA"/>
    <w:rsid w:val="57813298"/>
    <w:rsid w:val="57AE7CE9"/>
    <w:rsid w:val="57BB500C"/>
    <w:rsid w:val="58753EBA"/>
    <w:rsid w:val="58E426FC"/>
    <w:rsid w:val="58FC3B2E"/>
    <w:rsid w:val="59063548"/>
    <w:rsid w:val="5A6776CD"/>
    <w:rsid w:val="5ADD1E8F"/>
    <w:rsid w:val="5AE6303A"/>
    <w:rsid w:val="5B155A7C"/>
    <w:rsid w:val="5B442B97"/>
    <w:rsid w:val="5B745BFD"/>
    <w:rsid w:val="5B977B3E"/>
    <w:rsid w:val="5BB92A27"/>
    <w:rsid w:val="5C5B0B6B"/>
    <w:rsid w:val="5CB643E4"/>
    <w:rsid w:val="5D1D06C0"/>
    <w:rsid w:val="5D8D11F8"/>
    <w:rsid w:val="5DE26661"/>
    <w:rsid w:val="5E2D5305"/>
    <w:rsid w:val="5F1D65AC"/>
    <w:rsid w:val="5F230066"/>
    <w:rsid w:val="5F41229A"/>
    <w:rsid w:val="5F814D8D"/>
    <w:rsid w:val="5FA47678"/>
    <w:rsid w:val="5FE455B0"/>
    <w:rsid w:val="600F703F"/>
    <w:rsid w:val="60504E56"/>
    <w:rsid w:val="60515E5B"/>
    <w:rsid w:val="60535261"/>
    <w:rsid w:val="60E34892"/>
    <w:rsid w:val="613A7F60"/>
    <w:rsid w:val="61930DA7"/>
    <w:rsid w:val="627A5057"/>
    <w:rsid w:val="62A033DD"/>
    <w:rsid w:val="62B113CD"/>
    <w:rsid w:val="62C4617E"/>
    <w:rsid w:val="62D376AD"/>
    <w:rsid w:val="62DD758E"/>
    <w:rsid w:val="63002758"/>
    <w:rsid w:val="63886101"/>
    <w:rsid w:val="639F57E1"/>
    <w:rsid w:val="63E072F9"/>
    <w:rsid w:val="63E738F2"/>
    <w:rsid w:val="648B2856"/>
    <w:rsid w:val="64AD2180"/>
    <w:rsid w:val="64F46001"/>
    <w:rsid w:val="658E5B0E"/>
    <w:rsid w:val="65D86017"/>
    <w:rsid w:val="65E6594A"/>
    <w:rsid w:val="660E1EAC"/>
    <w:rsid w:val="661600DA"/>
    <w:rsid w:val="66DF5346"/>
    <w:rsid w:val="66E14AAB"/>
    <w:rsid w:val="6736630B"/>
    <w:rsid w:val="67D95646"/>
    <w:rsid w:val="67EE0E11"/>
    <w:rsid w:val="68014CBD"/>
    <w:rsid w:val="68DF3109"/>
    <w:rsid w:val="69195402"/>
    <w:rsid w:val="693F2885"/>
    <w:rsid w:val="699F5DE9"/>
    <w:rsid w:val="6A4A7E34"/>
    <w:rsid w:val="6A9776F8"/>
    <w:rsid w:val="6AAF0A00"/>
    <w:rsid w:val="6AEF34F2"/>
    <w:rsid w:val="6B234F4A"/>
    <w:rsid w:val="6B56531F"/>
    <w:rsid w:val="6BA442DD"/>
    <w:rsid w:val="6C5F0204"/>
    <w:rsid w:val="6C69186D"/>
    <w:rsid w:val="6C7D443F"/>
    <w:rsid w:val="6C8851EE"/>
    <w:rsid w:val="6CCF1622"/>
    <w:rsid w:val="6CE7035E"/>
    <w:rsid w:val="6DB1246A"/>
    <w:rsid w:val="6EAE5472"/>
    <w:rsid w:val="6EC95061"/>
    <w:rsid w:val="6F5778B8"/>
    <w:rsid w:val="700F6909"/>
    <w:rsid w:val="702F5608"/>
    <w:rsid w:val="708F2CC4"/>
    <w:rsid w:val="709444F0"/>
    <w:rsid w:val="71182116"/>
    <w:rsid w:val="71205936"/>
    <w:rsid w:val="71477CCB"/>
    <w:rsid w:val="717715C3"/>
    <w:rsid w:val="7178018F"/>
    <w:rsid w:val="71BA40BB"/>
    <w:rsid w:val="71CD052F"/>
    <w:rsid w:val="72FC40C1"/>
    <w:rsid w:val="73740A39"/>
    <w:rsid w:val="737E3665"/>
    <w:rsid w:val="73D43285"/>
    <w:rsid w:val="742B746E"/>
    <w:rsid w:val="743D2B8C"/>
    <w:rsid w:val="74736F42"/>
    <w:rsid w:val="74CA7F29"/>
    <w:rsid w:val="752B1D3E"/>
    <w:rsid w:val="75913D16"/>
    <w:rsid w:val="75BC13D7"/>
    <w:rsid w:val="763C0048"/>
    <w:rsid w:val="76FA1255"/>
    <w:rsid w:val="77135965"/>
    <w:rsid w:val="77262B54"/>
    <w:rsid w:val="772D4414"/>
    <w:rsid w:val="773A5C43"/>
    <w:rsid w:val="775947BB"/>
    <w:rsid w:val="77AD276B"/>
    <w:rsid w:val="77B87094"/>
    <w:rsid w:val="77C96E08"/>
    <w:rsid w:val="77FC72FD"/>
    <w:rsid w:val="781D0435"/>
    <w:rsid w:val="78E27C50"/>
    <w:rsid w:val="7936053E"/>
    <w:rsid w:val="79500F4C"/>
    <w:rsid w:val="79752D30"/>
    <w:rsid w:val="7986195D"/>
    <w:rsid w:val="79E005EE"/>
    <w:rsid w:val="7A044DC4"/>
    <w:rsid w:val="7A2B7C88"/>
    <w:rsid w:val="7A865511"/>
    <w:rsid w:val="7AA20E97"/>
    <w:rsid w:val="7AAA4D40"/>
    <w:rsid w:val="7ABC4A73"/>
    <w:rsid w:val="7AC10876"/>
    <w:rsid w:val="7B2F16E9"/>
    <w:rsid w:val="7B334ED0"/>
    <w:rsid w:val="7BFF2E69"/>
    <w:rsid w:val="7C4B6886"/>
    <w:rsid w:val="7C71236F"/>
    <w:rsid w:val="7C7B25BC"/>
    <w:rsid w:val="7C8D2B6B"/>
    <w:rsid w:val="7C8F0691"/>
    <w:rsid w:val="7D056BA5"/>
    <w:rsid w:val="7D360B0D"/>
    <w:rsid w:val="7D55069E"/>
    <w:rsid w:val="7D670C49"/>
    <w:rsid w:val="7D6A4C5A"/>
    <w:rsid w:val="7D711B45"/>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qFormat/>
    <w:uiPriority w:val="0"/>
    <w:pPr>
      <w:keepNext/>
      <w:keepLines/>
      <w:spacing w:line="560" w:lineRule="exact"/>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qFormat/>
    <w:uiPriority w:val="10"/>
    <w:pPr>
      <w:spacing w:before="240" w:after="60"/>
      <w:jc w:val="center"/>
      <w:outlineLvl w:val="0"/>
    </w:pPr>
    <w:rPr>
      <w:rFonts w:ascii="Arial" w:hAnsi="Arial" w:eastAsia="宋体" w:cs="黑体"/>
      <w:b/>
      <w:sz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0"/>
    <w:rPr>
      <w:b/>
      <w:bCs/>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409</Words>
  <Characters>422</Characters>
  <Lines>9</Lines>
  <Paragraphs>2</Paragraphs>
  <TotalTime>24</TotalTime>
  <ScaleCrop>false</ScaleCrop>
  <LinksUpToDate>false</LinksUpToDate>
  <CharactersWithSpaces>444</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2024-11-29T10:25:48Z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7B718A08F4AD449EB4F3ABBB2F254500_13</vt:lpwstr>
  </property>
</Properties>
</file>