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库尔勒市丝路街道办事处2023年度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 xml:space="preserve">第一部分 </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一）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一战线工作的领导；指导工会、共青团、妇联等群团工作。坚持党管武装的基本原则和制度，协调各方力量，对行政区人民武装工作实行统一管理。</w:t>
      </w:r>
    </w:p>
    <w:p>
      <w:pPr>
        <w:ind w:firstLine="640" w:firstLineChars="200"/>
        <w:outlineLvl w:val="1"/>
        <w:rPr>
          <w:rFonts w:ascii="仿宋_GB2312" w:eastAsia="仿宋_GB2312"/>
          <w:sz w:val="32"/>
          <w:szCs w:val="32"/>
        </w:rPr>
      </w:pPr>
      <w:r>
        <w:rPr>
          <w:rFonts w:hint="eastAsia" w:ascii="仿宋_GB2312" w:eastAsia="仿宋_GB2312"/>
          <w:sz w:val="32"/>
          <w:szCs w:val="32"/>
        </w:rPr>
        <w:t>（二）统筹区域发展。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p>
    <w:p>
      <w:pPr>
        <w:ind w:firstLine="640" w:firstLineChars="200"/>
        <w:outlineLvl w:val="1"/>
        <w:rPr>
          <w:rFonts w:ascii="仿宋_GB2312" w:eastAsia="仿宋_GB2312"/>
          <w:sz w:val="32"/>
          <w:szCs w:val="32"/>
        </w:rPr>
      </w:pPr>
      <w:r>
        <w:rPr>
          <w:rFonts w:hint="eastAsia" w:ascii="仿宋_GB2312" w:eastAsia="仿宋_GB2312"/>
          <w:sz w:val="32"/>
          <w:szCs w:val="32"/>
        </w:rPr>
        <w:t>（三）组织公共服务。加强公共设施建设，开展就业和社会保障等服务。</w:t>
      </w:r>
    </w:p>
    <w:p>
      <w:pPr>
        <w:ind w:firstLine="640" w:firstLineChars="200"/>
        <w:outlineLvl w:val="1"/>
        <w:rPr>
          <w:rFonts w:ascii="仿宋_GB2312" w:eastAsia="仿宋_GB2312"/>
          <w:sz w:val="32"/>
          <w:szCs w:val="32"/>
        </w:rPr>
      </w:pPr>
      <w:r>
        <w:rPr>
          <w:rFonts w:hint="eastAsia" w:ascii="仿宋_GB2312" w:eastAsia="仿宋_GB2312"/>
          <w:sz w:val="32"/>
          <w:szCs w:val="32"/>
        </w:rPr>
        <w:t>（四）实施公共管理。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p>
    <w:p>
      <w:pPr>
        <w:ind w:firstLine="640" w:firstLineChars="200"/>
        <w:outlineLvl w:val="1"/>
        <w:rPr>
          <w:rFonts w:ascii="仿宋_GB2312" w:eastAsia="仿宋_GB2312"/>
          <w:sz w:val="32"/>
          <w:szCs w:val="32"/>
        </w:rPr>
      </w:pPr>
      <w:r>
        <w:rPr>
          <w:rFonts w:hint="eastAsia" w:ascii="仿宋_GB2312" w:eastAsia="仿宋_GB2312"/>
          <w:sz w:val="32"/>
          <w:szCs w:val="32"/>
        </w:rPr>
        <w:t>（五）维护公共安全。承担辖区内社会治安综合治理、信访、平安建设、应急管理、安全生产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ind w:firstLine="640" w:firstLineChars="200"/>
        <w:outlineLvl w:val="1"/>
        <w:rPr>
          <w:rFonts w:ascii="仿宋_GB2312" w:eastAsia="仿宋_GB2312"/>
          <w:sz w:val="32"/>
          <w:szCs w:val="32"/>
        </w:rPr>
      </w:pPr>
      <w:r>
        <w:rPr>
          <w:rFonts w:hint="eastAsia" w:ascii="仿宋_GB2312" w:eastAsia="仿宋_GB2312"/>
          <w:sz w:val="32"/>
          <w:szCs w:val="32"/>
        </w:rPr>
        <w:t>（六）监督执法管理。协助有关部门加强对行政区内的文化娱乐等场所的管理及监督工作，对辖区内各类行政执法工作进行统筹协调，依法依规行使行政处罚权，组织开展群众监督和社会监督。</w:t>
      </w:r>
    </w:p>
    <w:p>
      <w:pPr>
        <w:ind w:firstLine="640" w:firstLineChars="200"/>
        <w:outlineLvl w:val="1"/>
        <w:rPr>
          <w:rFonts w:ascii="仿宋_GB2312" w:eastAsia="仿宋_GB2312"/>
          <w:sz w:val="32"/>
          <w:szCs w:val="32"/>
        </w:rPr>
      </w:pPr>
      <w:r>
        <w:rPr>
          <w:rFonts w:hint="eastAsia" w:ascii="仿宋_GB2312" w:eastAsia="仿宋_GB2312"/>
          <w:sz w:val="32"/>
          <w:szCs w:val="32"/>
        </w:rPr>
        <w:t>（七）动员社会参与。动员辖区内各类单位、社会组织、社区居民等社会力量参与社会治理，为城市发展服务。</w:t>
      </w:r>
    </w:p>
    <w:p>
      <w:pPr>
        <w:ind w:firstLine="640" w:firstLineChars="200"/>
        <w:outlineLvl w:val="1"/>
        <w:rPr>
          <w:rFonts w:ascii="仿宋_GB2312" w:eastAsia="仿宋_GB2312"/>
          <w:sz w:val="32"/>
          <w:szCs w:val="32"/>
        </w:rPr>
      </w:pPr>
      <w:r>
        <w:rPr>
          <w:rFonts w:hint="eastAsia" w:ascii="仿宋_GB2312" w:eastAsia="仿宋_GB2312"/>
          <w:sz w:val="32"/>
          <w:szCs w:val="32"/>
        </w:rPr>
        <w:t>（八）指导居民委员会建设，健全居民自治平台，组织驻街道单位和居民参与社区建设、管理。</w:t>
      </w:r>
    </w:p>
    <w:p>
      <w:pPr>
        <w:ind w:firstLine="640" w:firstLineChars="200"/>
        <w:outlineLvl w:val="1"/>
        <w:rPr>
          <w:rFonts w:ascii="仿宋_GB2312" w:eastAsia="仿宋_GB2312"/>
          <w:sz w:val="32"/>
          <w:szCs w:val="32"/>
        </w:rPr>
      </w:pPr>
      <w:r>
        <w:rPr>
          <w:rFonts w:hint="eastAsia" w:ascii="仿宋_GB2312" w:eastAsia="仿宋_GB2312"/>
          <w:sz w:val="32"/>
          <w:szCs w:val="32"/>
        </w:rPr>
        <w:t>（九）按照管理权限，负责机关和事业单位工作人员的教育、培养、选拔、考核和监督工作；协助管理好派驻单位工作人员。</w:t>
      </w:r>
    </w:p>
    <w:p>
      <w:pPr>
        <w:ind w:firstLine="640" w:firstLineChars="200"/>
        <w:outlineLvl w:val="1"/>
        <w:rPr>
          <w:rFonts w:ascii="仿宋_GB2312" w:eastAsia="仿宋_GB2312"/>
          <w:sz w:val="32"/>
          <w:szCs w:val="32"/>
        </w:rPr>
      </w:pPr>
      <w:r>
        <w:rPr>
          <w:rFonts w:hint="eastAsia" w:ascii="仿宋_GB2312" w:eastAsia="仿宋_GB2312"/>
          <w:sz w:val="32"/>
          <w:szCs w:val="32"/>
        </w:rPr>
        <w:t>（十）依法依规承担下放的经济社会管理权限和行政执法事项。</w:t>
      </w:r>
    </w:p>
    <w:p>
      <w:pPr>
        <w:ind w:firstLine="640" w:firstLineChars="200"/>
        <w:outlineLvl w:val="1"/>
        <w:rPr>
          <w:rFonts w:ascii="仿宋_GB2312" w:eastAsia="仿宋_GB2312"/>
          <w:sz w:val="32"/>
          <w:szCs w:val="32"/>
        </w:rPr>
      </w:pPr>
      <w:r>
        <w:rPr>
          <w:rFonts w:hint="eastAsia" w:ascii="仿宋_GB2312" w:eastAsia="仿宋_GB2312"/>
          <w:sz w:val="32"/>
          <w:szCs w:val="32"/>
        </w:rPr>
        <w:t>（十一）完成市委、市人民政府交办的其他事项。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库尔勒市丝路街道办事处2023年度，实有人数</w:t>
      </w:r>
      <w:r>
        <w:rPr>
          <w:rFonts w:hint="eastAsia" w:ascii="仿宋_GB2312" w:eastAsia="仿宋_GB2312"/>
          <w:sz w:val="32"/>
          <w:szCs w:val="32"/>
          <w:lang w:val="zh-CN"/>
        </w:rPr>
        <w:t>35</w:t>
      </w:r>
      <w:r>
        <w:rPr>
          <w:rFonts w:hint="eastAsia" w:ascii="仿宋_GB2312" w:eastAsia="仿宋_GB2312"/>
          <w:sz w:val="32"/>
          <w:szCs w:val="32"/>
        </w:rPr>
        <w:t>人，其中：在职人员</w:t>
      </w:r>
      <w:r>
        <w:rPr>
          <w:rFonts w:hint="eastAsia" w:ascii="仿宋_GB2312" w:eastAsia="仿宋_GB2312"/>
          <w:sz w:val="32"/>
          <w:szCs w:val="32"/>
          <w:lang w:val="zh-CN"/>
        </w:rPr>
        <w:t>33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党建办、综合协调办、综治中心、行政执法中心、社会事务服务中心、统战民宗中心。</w:t>
      </w:r>
    </w:p>
    <w:p>
      <w:pPr>
        <w:rPr>
          <w:rFonts w:ascii="仿宋_GB2312" w:hAnsi="宋体" w:eastAsia="仿宋_GB2312" w:cs="宋体"/>
          <w:kern w:val="0"/>
          <w:sz w:val="32"/>
          <w:szCs w:val="32"/>
        </w:rPr>
      </w:pPr>
    </w:p>
    <w:p>
      <w:pPr>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2023年度收入总计1,255.07万元，其中：本年收入合计1,255.07万元，使用非财政拨款结余0.00万元，年初结转和结余0.00万元。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2023年度支出总计1,255.07万元，其中：本年支出合计1,255.07万元，结余分配0.00万元，年末结转和结余0.00万元。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增加121.04万元</w:t>
      </w:r>
      <w:r>
        <w:rPr>
          <w:rFonts w:hint="eastAsia" w:ascii="仿宋_GB2312" w:eastAsia="仿宋_GB2312"/>
          <w:sz w:val="32"/>
          <w:szCs w:val="32"/>
        </w:rPr>
        <w:t>，</w:t>
      </w:r>
      <w:r>
        <w:rPr>
          <w:rFonts w:hint="eastAsia" w:ascii="仿宋_GB2312" w:eastAsia="仿宋_GB2312"/>
          <w:sz w:val="32"/>
          <w:szCs w:val="32"/>
          <w:lang w:val="zh-CN"/>
        </w:rPr>
        <w:t>增长10.67%</w:t>
      </w:r>
      <w:r>
        <w:rPr>
          <w:rFonts w:hint="eastAsia" w:ascii="仿宋_GB2312" w:eastAsia="仿宋_GB2312"/>
          <w:sz w:val="32"/>
          <w:szCs w:val="32"/>
        </w:rPr>
        <w:t>，主要原因是：一是人员工资增加，社保基数提高，公积金基数提高；二是2</w:t>
      </w:r>
      <w:r>
        <w:rPr>
          <w:rFonts w:ascii="仿宋_GB2312" w:eastAsia="仿宋_GB2312"/>
          <w:sz w:val="32"/>
          <w:szCs w:val="32"/>
        </w:rPr>
        <w:t>023</w:t>
      </w:r>
      <w:r>
        <w:rPr>
          <w:rFonts w:hint="eastAsia" w:ascii="仿宋_GB2312" w:eastAsia="仿宋_GB2312"/>
          <w:sz w:val="32"/>
          <w:szCs w:val="32"/>
        </w:rPr>
        <w:t>年度新招录7名工作人员，人员工资及社保、公积金增加。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本年收入1,255.07万元，其中：财政拨款收入</w:t>
      </w:r>
      <w:r>
        <w:rPr>
          <w:rFonts w:hint="eastAsia" w:ascii="仿宋_GB2312" w:eastAsia="仿宋_GB2312"/>
          <w:sz w:val="32"/>
          <w:szCs w:val="32"/>
          <w:lang w:val="zh-CN"/>
        </w:rPr>
        <w:t>1,255.07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eastAsia="仿宋_GB2312" w:cs="仿宋_GB2312"/>
          <w:sz w:val="30"/>
          <w:szCs w:val="30"/>
          <w:lang w:val="zh-CN"/>
        </w:rPr>
      </w:pPr>
      <w:r>
        <w:rPr>
          <w:rFonts w:hint="eastAsia" w:eastAsia="仿宋_GB2312" w:cs="仿宋_GB2312"/>
          <w:sz w:val="32"/>
          <w:szCs w:val="32"/>
          <w:lang w:val="zh-CN"/>
        </w:rPr>
        <w:t>本年支出1,255.07万元，其中：基本支出1,123.12万元，占89.49%；项目支出131.95万元，占10.51%；上缴上级支出0.00万元，占0.00%；经营支出0.00万元，占0.00%；对附属单位补助支出0.00万元，占0.00%。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1,255.07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1,255.07</w:t>
      </w:r>
      <w:r>
        <w:rPr>
          <w:rFonts w:hint="eastAsia" w:ascii="仿宋_GB2312" w:eastAsia="仿宋_GB2312"/>
          <w:sz w:val="32"/>
          <w:szCs w:val="32"/>
        </w:rPr>
        <w:t>万元。财政拨款支出总计</w:t>
      </w:r>
      <w:r>
        <w:rPr>
          <w:rFonts w:hint="eastAsia" w:ascii="仿宋_GB2312" w:eastAsia="仿宋_GB2312"/>
          <w:sz w:val="32"/>
          <w:szCs w:val="32"/>
          <w:lang w:val="zh-CN"/>
        </w:rPr>
        <w:t>1,255.07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1,255.07</w:t>
      </w:r>
      <w:r>
        <w:rPr>
          <w:rFonts w:hint="eastAsia" w:ascii="仿宋_GB2312" w:eastAsia="仿宋_GB2312"/>
          <w:sz w:val="32"/>
          <w:szCs w:val="32"/>
        </w:rPr>
        <w:t>万元。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增加121.04万元</w:t>
      </w:r>
      <w:r>
        <w:rPr>
          <w:rFonts w:hint="eastAsia" w:ascii="仿宋_GB2312" w:eastAsia="仿宋_GB2312"/>
          <w:sz w:val="32"/>
          <w:szCs w:val="32"/>
        </w:rPr>
        <w:t>，</w:t>
      </w:r>
      <w:r>
        <w:rPr>
          <w:rFonts w:hint="eastAsia" w:ascii="仿宋_GB2312" w:eastAsia="仿宋_GB2312"/>
          <w:sz w:val="32"/>
          <w:szCs w:val="32"/>
          <w:lang w:val="zh-CN"/>
        </w:rPr>
        <w:t>增长10.67%，</w:t>
      </w:r>
      <w:r>
        <w:rPr>
          <w:rFonts w:hint="eastAsia" w:ascii="仿宋_GB2312" w:eastAsia="仿宋_GB2312"/>
          <w:sz w:val="32"/>
          <w:szCs w:val="32"/>
        </w:rPr>
        <w:t>主要原因是：一是人员工资增加，社保基数提高，公积金基数提高；二是2</w:t>
      </w:r>
      <w:r>
        <w:rPr>
          <w:rFonts w:ascii="仿宋_GB2312" w:eastAsia="仿宋_GB2312"/>
          <w:sz w:val="32"/>
          <w:szCs w:val="32"/>
        </w:rPr>
        <w:t>023</w:t>
      </w:r>
      <w:r>
        <w:rPr>
          <w:rFonts w:hint="eastAsia" w:ascii="仿宋_GB2312" w:eastAsia="仿宋_GB2312"/>
          <w:sz w:val="32"/>
          <w:szCs w:val="32"/>
        </w:rPr>
        <w:t>年度新招录7名工作人员，人员工资及社保、公积金增加。与年初预算相比，年初预算数</w:t>
      </w:r>
      <w:r>
        <w:rPr>
          <w:rFonts w:hint="eastAsia" w:ascii="仿宋_GB2312" w:eastAsia="仿宋_GB2312"/>
          <w:sz w:val="32"/>
          <w:szCs w:val="32"/>
          <w:lang w:val="zh-CN"/>
        </w:rPr>
        <w:t>1,199.05</w:t>
      </w:r>
      <w:r>
        <w:rPr>
          <w:rFonts w:hint="eastAsia" w:ascii="仿宋_GB2312" w:eastAsia="仿宋_GB2312"/>
          <w:sz w:val="32"/>
          <w:szCs w:val="32"/>
        </w:rPr>
        <w:t>万元，决算数</w:t>
      </w:r>
      <w:r>
        <w:rPr>
          <w:rFonts w:hint="eastAsia" w:ascii="仿宋_GB2312" w:eastAsia="仿宋_GB2312"/>
          <w:sz w:val="32"/>
          <w:szCs w:val="32"/>
          <w:lang w:val="zh-CN"/>
        </w:rPr>
        <w:t>1,255.07</w:t>
      </w:r>
      <w:r>
        <w:rPr>
          <w:rFonts w:hint="eastAsia" w:ascii="仿宋_GB2312" w:eastAsia="仿宋_GB2312"/>
          <w:sz w:val="32"/>
          <w:szCs w:val="32"/>
        </w:rPr>
        <w:t>万元，预决算差异率4.67%，主要原因是：</w:t>
      </w:r>
      <w:bookmarkStart w:id="16" w:name="_Toc20360"/>
      <w:bookmarkStart w:id="17" w:name="_Toc13833"/>
      <w:r>
        <w:rPr>
          <w:rFonts w:hint="eastAsia" w:ascii="仿宋_GB2312" w:eastAsia="仿宋_GB2312"/>
          <w:sz w:val="32"/>
          <w:szCs w:val="32"/>
          <w:lang w:val="zh-CN"/>
        </w:rPr>
        <w:t>上级拨付2</w:t>
      </w:r>
      <w:r>
        <w:rPr>
          <w:rFonts w:ascii="仿宋_GB2312" w:eastAsia="仿宋_GB2312"/>
          <w:sz w:val="32"/>
          <w:szCs w:val="32"/>
          <w:lang w:val="zh-CN"/>
        </w:rPr>
        <w:t>023</w:t>
      </w:r>
      <w:r>
        <w:rPr>
          <w:rFonts w:hint="eastAsia" w:ascii="仿宋_GB2312" w:eastAsia="仿宋_GB2312"/>
          <w:sz w:val="32"/>
          <w:szCs w:val="32"/>
          <w:lang w:val="zh-CN"/>
        </w:rPr>
        <w:t>年积极应对人口老龄化工程和托育建设中央基建的专项经费，</w:t>
      </w:r>
      <w:r>
        <w:rPr>
          <w:rFonts w:hint="eastAsia" w:ascii="仿宋_GB2312" w:eastAsia="仿宋_GB2312"/>
          <w:sz w:val="32"/>
          <w:szCs w:val="32"/>
          <w:lang w:val="en-US" w:eastAsia="zh-CN"/>
        </w:rPr>
        <w:t>导致决算数比预算增加。</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hint="eastAsia" w:ascii="仿宋_GB2312" w:eastAsia="仿宋_GB2312"/>
          <w:sz w:val="32"/>
          <w:szCs w:val="32"/>
          <w:lang w:val="zh-CN"/>
        </w:rPr>
      </w:pPr>
      <w:r>
        <w:rPr>
          <w:rFonts w:hint="eastAsia" w:ascii="仿宋_GB2312" w:eastAsia="仿宋_GB2312"/>
          <w:sz w:val="32"/>
          <w:szCs w:val="32"/>
        </w:rPr>
        <w:t>2023年度一般公共预算财政拨款支出1,243.06万元，占本年支出合计的</w:t>
      </w:r>
      <w:r>
        <w:rPr>
          <w:rFonts w:hint="eastAsia" w:ascii="仿宋_GB2312" w:eastAsia="仿宋_GB2312"/>
          <w:sz w:val="32"/>
          <w:szCs w:val="32"/>
          <w:lang w:val="zh-CN"/>
        </w:rPr>
        <w:t>99.04%</w:t>
      </w:r>
      <w:r>
        <w:rPr>
          <w:rFonts w:hint="eastAsia" w:ascii="仿宋_GB2312" w:eastAsia="仿宋_GB2312"/>
          <w:sz w:val="32"/>
          <w:szCs w:val="32"/>
        </w:rPr>
        <w:t>。与上年相比，</w:t>
      </w:r>
      <w:r>
        <w:rPr>
          <w:rFonts w:hint="eastAsia" w:ascii="仿宋_GB2312" w:eastAsia="仿宋_GB2312"/>
          <w:sz w:val="32"/>
          <w:szCs w:val="32"/>
          <w:lang w:val="zh-CN"/>
        </w:rPr>
        <w:t>增加109.03万元</w:t>
      </w:r>
      <w:r>
        <w:rPr>
          <w:rFonts w:hint="eastAsia" w:ascii="仿宋_GB2312" w:eastAsia="仿宋_GB2312"/>
          <w:sz w:val="32"/>
          <w:szCs w:val="32"/>
        </w:rPr>
        <w:t>，</w:t>
      </w:r>
      <w:r>
        <w:rPr>
          <w:rFonts w:hint="eastAsia" w:ascii="仿宋_GB2312" w:eastAsia="仿宋_GB2312"/>
          <w:sz w:val="32"/>
          <w:szCs w:val="32"/>
          <w:lang w:val="zh-CN"/>
        </w:rPr>
        <w:t>增长9.61%，</w:t>
      </w:r>
      <w:r>
        <w:rPr>
          <w:rFonts w:hint="eastAsia" w:ascii="仿宋_GB2312" w:eastAsia="仿宋_GB2312"/>
          <w:sz w:val="32"/>
          <w:szCs w:val="32"/>
        </w:rPr>
        <w:t>主要原因是：一是人员工资增加，社保基数提高，公积金基数提高；二是2</w:t>
      </w:r>
      <w:r>
        <w:rPr>
          <w:rFonts w:ascii="仿宋_GB2312" w:eastAsia="仿宋_GB2312"/>
          <w:sz w:val="32"/>
          <w:szCs w:val="32"/>
        </w:rPr>
        <w:t>023</w:t>
      </w:r>
      <w:r>
        <w:rPr>
          <w:rFonts w:hint="eastAsia" w:ascii="仿宋_GB2312" w:eastAsia="仿宋_GB2312"/>
          <w:sz w:val="32"/>
          <w:szCs w:val="32"/>
        </w:rPr>
        <w:t>年度新招录7名工作人员，人员工资及社保、公积金增加。与年初预算相比，年初预算数</w:t>
      </w:r>
      <w:r>
        <w:rPr>
          <w:rFonts w:hint="eastAsia" w:ascii="仿宋_GB2312" w:eastAsia="仿宋_GB2312"/>
          <w:sz w:val="32"/>
          <w:szCs w:val="32"/>
          <w:lang w:val="zh-CN"/>
        </w:rPr>
        <w:t>1,197.63</w:t>
      </w:r>
      <w:r>
        <w:rPr>
          <w:rFonts w:hint="eastAsia" w:ascii="仿宋_GB2312" w:eastAsia="仿宋_GB2312"/>
          <w:sz w:val="32"/>
          <w:szCs w:val="32"/>
        </w:rPr>
        <w:t>万元，决算数</w:t>
      </w:r>
      <w:r>
        <w:rPr>
          <w:rFonts w:hint="eastAsia" w:ascii="仿宋_GB2312" w:eastAsia="仿宋_GB2312"/>
          <w:sz w:val="32"/>
          <w:szCs w:val="32"/>
          <w:lang w:val="zh-CN"/>
        </w:rPr>
        <w:t>1,243.06</w:t>
      </w:r>
      <w:r>
        <w:rPr>
          <w:rFonts w:hint="eastAsia" w:ascii="仿宋_GB2312" w:eastAsia="仿宋_GB2312"/>
          <w:sz w:val="32"/>
          <w:szCs w:val="32"/>
        </w:rPr>
        <w:t>万元，预决算差异率</w:t>
      </w:r>
      <w:r>
        <w:rPr>
          <w:rFonts w:hint="eastAsia" w:ascii="仿宋_GB2312" w:eastAsia="仿宋_GB2312"/>
          <w:sz w:val="32"/>
          <w:szCs w:val="32"/>
          <w:lang w:val="zh-CN"/>
        </w:rPr>
        <w:t>3.79%</w:t>
      </w:r>
      <w:r>
        <w:rPr>
          <w:rFonts w:hint="eastAsia" w:ascii="仿宋_GB2312" w:eastAsia="仿宋_GB2312"/>
          <w:sz w:val="32"/>
          <w:szCs w:val="32"/>
        </w:rPr>
        <w:t>，主要原因是：</w:t>
      </w:r>
      <w:r>
        <w:rPr>
          <w:rFonts w:hint="eastAsia" w:eastAsia="仿宋_GB2312"/>
          <w:sz w:val="32"/>
          <w:szCs w:val="32"/>
          <w:lang w:val="zh-CN"/>
        </w:rPr>
        <w:t>上级拨付2023年积极应对人口老龄化工程和托育建设中央基建的专项经费，导致决算数比预算增加。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959.66</w:t>
      </w:r>
      <w:r>
        <w:rPr>
          <w:rFonts w:ascii="仿宋_GB2312" w:eastAsia="仿宋_GB2312"/>
          <w:kern w:val="2"/>
          <w:sz w:val="32"/>
          <w:szCs w:val="32"/>
          <w:lang w:val="zh-CN"/>
        </w:rPr>
        <w:t>万元，占</w:t>
      </w:r>
      <w:r>
        <w:rPr>
          <w:rFonts w:hint="eastAsia" w:ascii="仿宋_GB2312" w:eastAsia="仿宋_GB2312"/>
          <w:kern w:val="2"/>
          <w:sz w:val="32"/>
          <w:szCs w:val="32"/>
          <w:lang w:val="zh-CN"/>
        </w:rPr>
        <w:t>77.20</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2.35</w:t>
      </w:r>
      <w:r>
        <w:rPr>
          <w:rFonts w:ascii="仿宋_GB2312" w:eastAsia="仿宋_GB2312"/>
          <w:kern w:val="2"/>
          <w:sz w:val="32"/>
          <w:szCs w:val="32"/>
          <w:lang w:val="zh-CN"/>
        </w:rPr>
        <w:t>万元，占</w:t>
      </w:r>
      <w:r>
        <w:rPr>
          <w:rFonts w:hint="eastAsia" w:ascii="仿宋_GB2312" w:eastAsia="仿宋_GB2312"/>
          <w:kern w:val="2"/>
          <w:sz w:val="32"/>
          <w:szCs w:val="32"/>
          <w:lang w:val="zh-CN"/>
        </w:rPr>
        <w:t>0.19</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3.83</w:t>
      </w:r>
      <w:r>
        <w:rPr>
          <w:rFonts w:ascii="仿宋_GB2312" w:eastAsia="仿宋_GB2312"/>
          <w:kern w:val="2"/>
          <w:sz w:val="32"/>
          <w:szCs w:val="32"/>
          <w:lang w:val="zh-CN"/>
        </w:rPr>
        <w:t>万元，占</w:t>
      </w:r>
      <w:r>
        <w:rPr>
          <w:rFonts w:hint="eastAsia" w:ascii="仿宋_GB2312" w:eastAsia="仿宋_GB2312"/>
          <w:kern w:val="2"/>
          <w:sz w:val="32"/>
          <w:szCs w:val="32"/>
          <w:lang w:val="zh-CN"/>
        </w:rPr>
        <w:t>0.31</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219.17</w:t>
      </w:r>
      <w:r>
        <w:rPr>
          <w:rFonts w:ascii="仿宋_GB2312" w:eastAsia="仿宋_GB2312"/>
          <w:kern w:val="2"/>
          <w:sz w:val="32"/>
          <w:szCs w:val="32"/>
          <w:lang w:val="zh-CN"/>
        </w:rPr>
        <w:t>万元，占</w:t>
      </w:r>
      <w:r>
        <w:rPr>
          <w:rFonts w:hint="eastAsia" w:ascii="仿宋_GB2312" w:eastAsia="仿宋_GB2312"/>
          <w:kern w:val="2"/>
          <w:sz w:val="32"/>
          <w:szCs w:val="32"/>
          <w:lang w:val="zh-CN"/>
        </w:rPr>
        <w:t>17.63</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23.68</w:t>
      </w:r>
      <w:r>
        <w:rPr>
          <w:rFonts w:ascii="仿宋_GB2312" w:eastAsia="仿宋_GB2312"/>
          <w:kern w:val="2"/>
          <w:sz w:val="32"/>
          <w:szCs w:val="32"/>
          <w:lang w:val="zh-CN"/>
        </w:rPr>
        <w:t>万元，占</w:t>
      </w:r>
      <w:r>
        <w:rPr>
          <w:rFonts w:hint="eastAsia" w:ascii="仿宋_GB2312" w:eastAsia="仿宋_GB2312"/>
          <w:kern w:val="2"/>
          <w:sz w:val="32"/>
          <w:szCs w:val="32"/>
          <w:lang w:val="zh-CN"/>
        </w:rPr>
        <w:t>1.9</w:t>
      </w:r>
      <w:r>
        <w:rPr>
          <w:rFonts w:ascii="仿宋_GB2312" w:eastAsia="仿宋_GB2312"/>
          <w:kern w:val="2"/>
          <w:sz w:val="32"/>
          <w:szCs w:val="32"/>
          <w:lang w:val="zh-CN"/>
        </w:rPr>
        <w:t>0%；</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lang w:val="en-US" w:eastAsia="zh-CN"/>
        </w:rPr>
        <w:t>6</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34.37</w:t>
      </w:r>
      <w:r>
        <w:rPr>
          <w:rFonts w:ascii="仿宋_GB2312" w:eastAsia="仿宋_GB2312"/>
          <w:kern w:val="2"/>
          <w:sz w:val="32"/>
          <w:szCs w:val="32"/>
          <w:lang w:val="zh-CN"/>
        </w:rPr>
        <w:t>万元，占</w:t>
      </w:r>
      <w:r>
        <w:rPr>
          <w:rFonts w:hint="eastAsia" w:ascii="仿宋_GB2312" w:eastAsia="仿宋_GB2312"/>
          <w:kern w:val="2"/>
          <w:sz w:val="32"/>
          <w:szCs w:val="32"/>
          <w:lang w:val="zh-CN"/>
        </w:rPr>
        <w:t>2.77</w:t>
      </w:r>
      <w:r>
        <w:rPr>
          <w:rFonts w:ascii="仿宋_GB2312" w:eastAsia="仿宋_GB2312"/>
          <w:kern w:val="2"/>
          <w:sz w:val="32"/>
          <w:szCs w:val="32"/>
          <w:lang w:val="zh-CN"/>
        </w:rPr>
        <w:t>%；</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rPr>
      </w:pPr>
      <w:r>
        <w:rPr>
          <w:rFonts w:hint="eastAsia" w:eastAsia="仿宋_GB2312"/>
          <w:sz w:val="32"/>
          <w:szCs w:val="32"/>
        </w:rPr>
        <w:t>1.一般公共服务支出（类）政府办公厅（室）及相关机构事务（款）行政运行（项）:支出决算数为861.76万元，比上年决算增加52.23万元，增长6.45%，主要原因是：</w:t>
      </w:r>
      <w:r>
        <w:rPr>
          <w:rFonts w:hint="eastAsia" w:eastAsia="仿宋_GB2312"/>
          <w:sz w:val="32"/>
          <w:szCs w:val="32"/>
          <w:lang w:val="zh-CN"/>
        </w:rPr>
        <w:t>一是本单位2</w:t>
      </w:r>
      <w:r>
        <w:rPr>
          <w:rFonts w:eastAsia="仿宋_GB2312"/>
          <w:sz w:val="32"/>
          <w:szCs w:val="32"/>
          <w:lang w:val="zh-CN"/>
        </w:rPr>
        <w:t>023</w:t>
      </w:r>
      <w:r>
        <w:rPr>
          <w:rFonts w:hint="eastAsia" w:eastAsia="仿宋_GB2312"/>
          <w:sz w:val="32"/>
          <w:szCs w:val="32"/>
          <w:lang w:val="zh-CN"/>
        </w:rPr>
        <w:t>年度新招录7名事业编制工作人员，人员工资增加，社保缴费基数及住房公积金缴纳增加；二是单位工作人员工资提高，社保及公积金缴费支出增加；</w:t>
      </w:r>
      <w:r>
        <w:rPr>
          <w:rFonts w:hint="eastAsia" w:eastAsia="仿宋_GB2312"/>
          <w:sz w:val="32"/>
          <w:szCs w:val="32"/>
        </w:rPr>
        <w:t>三是单位公务用车维修费和办公设备维护费增加。</w:t>
      </w:r>
    </w:p>
    <w:p>
      <w:pPr>
        <w:ind w:firstLine="640" w:firstLineChars="200"/>
        <w:rPr>
          <w:rFonts w:eastAsia="仿宋_GB2312"/>
          <w:sz w:val="32"/>
          <w:szCs w:val="32"/>
          <w:lang w:val="zh-CN"/>
        </w:rPr>
      </w:pPr>
      <w:r>
        <w:rPr>
          <w:rFonts w:eastAsia="仿宋_GB2312"/>
          <w:sz w:val="32"/>
          <w:szCs w:val="32"/>
        </w:rPr>
        <w:t>2.</w:t>
      </w:r>
      <w:r>
        <w:rPr>
          <w:rFonts w:hint="eastAsia" w:eastAsia="仿宋_GB2312"/>
          <w:sz w:val="32"/>
          <w:szCs w:val="32"/>
        </w:rPr>
        <w:t>一般公共服务支出（类）政府办公厅（室）及相关机构事务（款）其他政府办公厅（室）及相关机构事务支出（项）:支出决算数为22.62万元，比上年决算减少9.04万元，下降28.56%，主要原因是：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年度辞职及调出人员工作人员5名，单位厉行节约，网格经费、党建经费本年拨款减少。</w:t>
      </w:r>
    </w:p>
    <w:p>
      <w:pPr>
        <w:ind w:firstLine="640" w:firstLineChars="200"/>
        <w:rPr>
          <w:rFonts w:eastAsia="仿宋_GB2312"/>
          <w:sz w:val="32"/>
          <w:szCs w:val="32"/>
        </w:rPr>
      </w:pPr>
      <w:r>
        <w:rPr>
          <w:rFonts w:eastAsia="仿宋_GB2312"/>
          <w:sz w:val="32"/>
          <w:szCs w:val="32"/>
        </w:rPr>
        <w:t>3</w:t>
      </w:r>
      <w:r>
        <w:rPr>
          <w:rFonts w:hint="eastAsia" w:eastAsia="仿宋_GB2312"/>
          <w:sz w:val="32"/>
          <w:szCs w:val="32"/>
        </w:rPr>
        <w:t>.一般公共服务支出（类）纪检监察事务（款）其他纪检监察事务支出（项）:支出决算数为2.50万元，比上年决算增加2.50万元，增长100%，主要原因是：2</w:t>
      </w:r>
      <w:r>
        <w:rPr>
          <w:rFonts w:eastAsia="仿宋_GB2312"/>
          <w:sz w:val="32"/>
          <w:szCs w:val="32"/>
        </w:rPr>
        <w:t>023</w:t>
      </w:r>
      <w:r>
        <w:rPr>
          <w:rFonts w:hint="eastAsia" w:eastAsia="仿宋_GB2312"/>
          <w:sz w:val="32"/>
          <w:szCs w:val="32"/>
        </w:rPr>
        <w:t>年度因工作需要，购买专用材料及软件导致该项支出增加。</w:t>
      </w:r>
    </w:p>
    <w:p>
      <w:pPr>
        <w:ind w:firstLine="640" w:firstLineChars="200"/>
        <w:rPr>
          <w:rFonts w:eastAsia="仿宋_GB2312"/>
          <w:sz w:val="32"/>
          <w:szCs w:val="32"/>
          <w:lang w:val="zh-CN"/>
        </w:rPr>
      </w:pPr>
      <w:r>
        <w:rPr>
          <w:rFonts w:eastAsia="仿宋_GB2312"/>
          <w:sz w:val="32"/>
          <w:szCs w:val="32"/>
        </w:rPr>
        <w:t>4</w:t>
      </w:r>
      <w:r>
        <w:rPr>
          <w:rFonts w:hint="eastAsia" w:eastAsia="仿宋_GB2312"/>
          <w:sz w:val="32"/>
          <w:szCs w:val="32"/>
        </w:rPr>
        <w:t>.一般公共服务支出（类）组织事务（款）其他组织事务支出（项）:支出决算数为62.22万元，比上年决算减少62.81万元，下降50.24%，主要原因是：根据上级要求，2</w:t>
      </w:r>
      <w:r>
        <w:rPr>
          <w:rFonts w:eastAsia="仿宋_GB2312"/>
          <w:sz w:val="32"/>
          <w:szCs w:val="32"/>
        </w:rPr>
        <w:t>023</w:t>
      </w:r>
      <w:r>
        <w:rPr>
          <w:rFonts w:hint="eastAsia" w:eastAsia="仿宋_GB2312"/>
          <w:sz w:val="32"/>
          <w:szCs w:val="32"/>
        </w:rPr>
        <w:t>年度对其他组织事务科目进行调整导致该项支出减少。</w:t>
      </w:r>
    </w:p>
    <w:p>
      <w:pPr>
        <w:ind w:firstLine="640" w:firstLineChars="200"/>
        <w:rPr>
          <w:rFonts w:eastAsia="仿宋_GB2312"/>
          <w:sz w:val="32"/>
          <w:szCs w:val="32"/>
          <w:lang w:val="zh-CN"/>
        </w:rPr>
      </w:pPr>
      <w:r>
        <w:rPr>
          <w:rFonts w:eastAsia="仿宋_GB2312"/>
          <w:sz w:val="32"/>
          <w:szCs w:val="32"/>
        </w:rPr>
        <w:t>5</w:t>
      </w:r>
      <w:r>
        <w:rPr>
          <w:rFonts w:hint="eastAsia" w:eastAsia="仿宋_GB2312"/>
          <w:sz w:val="32"/>
          <w:szCs w:val="32"/>
        </w:rPr>
        <w:t>.一般公共服务支出（类）统战事务（款）宗教事务（项）:支出决算数为1.00万元，比上年决算增加1.00万元，增长100%，主要原因是：</w:t>
      </w:r>
      <w:r>
        <w:rPr>
          <w:rFonts w:hint="eastAsia" w:eastAsia="仿宋_GB2312"/>
          <w:sz w:val="32"/>
          <w:szCs w:val="32"/>
          <w:lang w:val="zh-CN"/>
        </w:rPr>
        <w:t>上年疫情原因，多项工作无法开展，本年根据工作需要，财政拨付专项支出，大力开展本项工作。</w:t>
      </w:r>
    </w:p>
    <w:p>
      <w:pPr>
        <w:ind w:firstLine="640" w:firstLineChars="200"/>
        <w:rPr>
          <w:rFonts w:eastAsia="仿宋_GB2312"/>
          <w:sz w:val="32"/>
          <w:szCs w:val="32"/>
          <w:lang w:val="zh-CN"/>
        </w:rPr>
      </w:pPr>
      <w:r>
        <w:rPr>
          <w:rFonts w:eastAsia="仿宋_GB2312"/>
          <w:sz w:val="32"/>
          <w:szCs w:val="32"/>
        </w:rPr>
        <w:t>6.</w:t>
      </w:r>
      <w:r>
        <w:rPr>
          <w:rFonts w:hint="eastAsia" w:eastAsia="仿宋_GB2312"/>
          <w:sz w:val="32"/>
          <w:szCs w:val="32"/>
        </w:rPr>
        <w:t>一般公共服务支出（类）统战事务（款）其他统战事务支出（项）:支出决算数为9.57万元，比上年决算减少2.01万元，下降17.</w:t>
      </w:r>
      <w:r>
        <w:rPr>
          <w:rFonts w:hint="eastAsia" w:eastAsia="仿宋_GB2312"/>
          <w:sz w:val="32"/>
          <w:szCs w:val="32"/>
          <w:lang w:val="en-US" w:eastAsia="zh-CN"/>
        </w:rPr>
        <w:t>36</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年度辞职及调出人员5人，费用减少；网格经费、党建经费本年拨款减少。</w:t>
      </w:r>
    </w:p>
    <w:p>
      <w:pPr>
        <w:ind w:firstLine="640" w:firstLineChars="200"/>
        <w:rPr>
          <w:rFonts w:eastAsia="仿宋_GB2312"/>
          <w:sz w:val="32"/>
          <w:szCs w:val="32"/>
          <w:lang w:val="zh-CN"/>
        </w:rPr>
      </w:pPr>
      <w:r>
        <w:rPr>
          <w:rFonts w:eastAsia="仿宋_GB2312"/>
          <w:sz w:val="32"/>
          <w:szCs w:val="32"/>
        </w:rPr>
        <w:t>7</w:t>
      </w:r>
      <w:r>
        <w:rPr>
          <w:rFonts w:hint="eastAsia" w:eastAsia="仿宋_GB2312"/>
          <w:sz w:val="32"/>
          <w:szCs w:val="32"/>
        </w:rPr>
        <w:t>.教育支出（类）进修及培训（款）培训支出（项）:支出决算数为2.35万元，比上年决算增加0.72万元，增长44.1</w:t>
      </w:r>
      <w:r>
        <w:rPr>
          <w:rFonts w:hint="eastAsia" w:eastAsia="仿宋_GB2312"/>
          <w:sz w:val="32"/>
          <w:szCs w:val="32"/>
          <w:lang w:val="en-US" w:eastAsia="zh-CN"/>
        </w:rPr>
        <w:t>7</w:t>
      </w:r>
      <w:r>
        <w:rPr>
          <w:rFonts w:hint="eastAsia" w:eastAsia="仿宋_GB2312"/>
          <w:sz w:val="32"/>
          <w:szCs w:val="32"/>
        </w:rPr>
        <w:t>%，主要原因是：</w:t>
      </w:r>
      <w:r>
        <w:rPr>
          <w:rFonts w:hint="eastAsia" w:eastAsia="仿宋_GB2312"/>
          <w:sz w:val="32"/>
          <w:szCs w:val="32"/>
          <w:lang w:val="zh-CN"/>
        </w:rPr>
        <w:t>上年疫情原因，无法开展培训活动，本年根据工作需要，多人参加外出培训导致费用增加。</w:t>
      </w:r>
    </w:p>
    <w:p>
      <w:pPr>
        <w:ind w:firstLine="640" w:firstLineChars="200"/>
        <w:rPr>
          <w:rFonts w:eastAsia="仿宋_GB2312"/>
          <w:sz w:val="32"/>
          <w:szCs w:val="32"/>
        </w:rPr>
      </w:pPr>
      <w:r>
        <w:rPr>
          <w:rFonts w:eastAsia="仿宋_GB2312"/>
          <w:sz w:val="32"/>
          <w:szCs w:val="32"/>
        </w:rPr>
        <w:t>8</w:t>
      </w:r>
      <w:r>
        <w:rPr>
          <w:rFonts w:hint="eastAsia" w:eastAsia="仿宋_GB2312"/>
          <w:sz w:val="32"/>
          <w:szCs w:val="32"/>
        </w:rPr>
        <w:t>.文化旅游体育与传媒支出（类）文化和旅游（款）其他文化和旅游支出（项）:支出决算数为3.13万元，比上年决算增加3.13万元，增长100%，主要原因是：上年度因受疫情影响，部分活动未能顺利开展，今年财政拨付专项经费，大力开展文体活动。</w:t>
      </w:r>
    </w:p>
    <w:p>
      <w:pPr>
        <w:ind w:firstLine="640" w:firstLineChars="200"/>
        <w:rPr>
          <w:rFonts w:hint="default" w:eastAsia="仿宋_GB2312"/>
          <w:sz w:val="32"/>
          <w:szCs w:val="32"/>
          <w:lang w:val="en-US" w:eastAsia="zh-CN"/>
        </w:rPr>
      </w:pPr>
      <w:r>
        <w:rPr>
          <w:rFonts w:eastAsia="仿宋_GB2312"/>
          <w:sz w:val="32"/>
          <w:szCs w:val="32"/>
        </w:rPr>
        <w:t>9</w:t>
      </w:r>
      <w:r>
        <w:rPr>
          <w:rFonts w:hint="eastAsia" w:eastAsia="仿宋_GB2312"/>
          <w:sz w:val="32"/>
          <w:szCs w:val="32"/>
        </w:rPr>
        <w:t>.文化旅游体育与传媒支出（类）其他文化旅游体育与传媒支出（款）其他文化旅游体育与传媒支出（项）:支出决算数为0.70万元，比上年决算增加0.70万元，增长100%，主要原因是：2</w:t>
      </w:r>
      <w:r>
        <w:rPr>
          <w:rFonts w:eastAsia="仿宋_GB2312"/>
          <w:sz w:val="32"/>
          <w:szCs w:val="32"/>
        </w:rPr>
        <w:t>023</w:t>
      </w:r>
      <w:r>
        <w:rPr>
          <w:rFonts w:hint="eastAsia" w:eastAsia="仿宋_GB2312"/>
          <w:sz w:val="32"/>
          <w:szCs w:val="32"/>
        </w:rPr>
        <w:t>年度上级拨付</w:t>
      </w:r>
      <w:r>
        <w:rPr>
          <w:rFonts w:hint="eastAsia" w:eastAsia="仿宋_GB2312"/>
          <w:sz w:val="32"/>
          <w:szCs w:val="32"/>
          <w:lang w:val="zh-CN"/>
        </w:rPr>
        <w:t>2023年自治区补助地方美术馆、公共图书馆、文化馆[站]免费开放补助资金项目经费，</w:t>
      </w:r>
      <w:r>
        <w:rPr>
          <w:rFonts w:hint="eastAsia" w:eastAsia="仿宋_GB2312"/>
          <w:sz w:val="32"/>
          <w:szCs w:val="32"/>
          <w:lang w:val="en-US" w:eastAsia="zh-CN"/>
        </w:rPr>
        <w:t>导致决算数比上年增加。</w:t>
      </w:r>
    </w:p>
    <w:p>
      <w:pPr>
        <w:ind w:firstLine="640" w:firstLineChars="200"/>
        <w:rPr>
          <w:rFonts w:eastAsia="仿宋_GB2312"/>
          <w:sz w:val="32"/>
          <w:szCs w:val="32"/>
        </w:rPr>
      </w:pPr>
      <w:r>
        <w:rPr>
          <w:rFonts w:eastAsia="仿宋_GB2312"/>
          <w:sz w:val="32"/>
          <w:szCs w:val="32"/>
        </w:rPr>
        <w:t>10</w:t>
      </w:r>
      <w:r>
        <w:rPr>
          <w:rFonts w:hint="eastAsia" w:eastAsia="仿宋_GB2312"/>
          <w:sz w:val="32"/>
          <w:szCs w:val="32"/>
        </w:rPr>
        <w:t>.社会保障和就业支出（类）行政事业单位养老支出（款）行政单位离退休（项）:支出决算数为2.44万元，比上年决算增加1.21万元，增长9</w:t>
      </w:r>
      <w:r>
        <w:rPr>
          <w:rFonts w:hint="eastAsia" w:eastAsia="仿宋_GB2312"/>
          <w:sz w:val="32"/>
          <w:szCs w:val="32"/>
          <w:lang w:val="en-US" w:eastAsia="zh-CN"/>
        </w:rPr>
        <w:t>8.37</w:t>
      </w:r>
      <w:r>
        <w:rPr>
          <w:rFonts w:hint="eastAsia" w:eastAsia="仿宋_GB2312"/>
          <w:sz w:val="32"/>
          <w:szCs w:val="32"/>
        </w:rPr>
        <w:t>%，主要原因是：2</w:t>
      </w:r>
      <w:r>
        <w:rPr>
          <w:rFonts w:eastAsia="仿宋_GB2312"/>
          <w:sz w:val="32"/>
          <w:szCs w:val="32"/>
        </w:rPr>
        <w:t>023</w:t>
      </w:r>
      <w:r>
        <w:rPr>
          <w:rFonts w:hint="eastAsia" w:eastAsia="仿宋_GB2312"/>
          <w:sz w:val="32"/>
          <w:szCs w:val="32"/>
        </w:rPr>
        <w:t>年度本单位退休一名事业编制干部，导致行政事业单位离退休支出增加。</w:t>
      </w:r>
    </w:p>
    <w:p>
      <w:pPr>
        <w:ind w:firstLine="640" w:firstLineChars="200"/>
        <w:rPr>
          <w:rFonts w:eastAsia="仿宋_GB2312"/>
          <w:sz w:val="32"/>
          <w:szCs w:val="32"/>
          <w:lang w:val="zh-CN"/>
        </w:rPr>
      </w:pPr>
      <w:r>
        <w:rPr>
          <w:rFonts w:eastAsia="仿宋_GB2312"/>
          <w:sz w:val="32"/>
          <w:szCs w:val="32"/>
        </w:rPr>
        <w:t>11</w:t>
      </w:r>
      <w:r>
        <w:rPr>
          <w:rFonts w:hint="eastAsia" w:eastAsia="仿宋_GB2312"/>
          <w:sz w:val="32"/>
          <w:szCs w:val="32"/>
        </w:rPr>
        <w:t>.社会保障和就业支出（类）行政事业单位养老支出（款）机关事业单位基本养老保险缴费支出（项）:支出决算数为53.39万元，比上年决算增加25.23万元，增长89.59%，主要原因是：一是2</w:t>
      </w:r>
      <w:r>
        <w:rPr>
          <w:rFonts w:eastAsia="仿宋_GB2312"/>
          <w:sz w:val="32"/>
          <w:szCs w:val="32"/>
        </w:rPr>
        <w:t>023</w:t>
      </w:r>
      <w:r>
        <w:rPr>
          <w:rFonts w:hint="eastAsia" w:eastAsia="仿宋_GB2312"/>
          <w:sz w:val="32"/>
          <w:szCs w:val="32"/>
        </w:rPr>
        <w:t>年度新招录7名事业编制工作人员，社保上缴费用提高；二是2</w:t>
      </w:r>
      <w:r>
        <w:rPr>
          <w:rFonts w:eastAsia="仿宋_GB2312"/>
          <w:sz w:val="32"/>
          <w:szCs w:val="32"/>
        </w:rPr>
        <w:t>023</w:t>
      </w:r>
      <w:r>
        <w:rPr>
          <w:rFonts w:hint="eastAsia" w:eastAsia="仿宋_GB2312"/>
          <w:sz w:val="32"/>
          <w:szCs w:val="32"/>
        </w:rPr>
        <w:t>年度在职人员工资提高，社保缴费基数随之提高</w:t>
      </w:r>
      <w:r>
        <w:rPr>
          <w:rFonts w:hint="eastAsia" w:eastAsia="仿宋_GB2312"/>
          <w:sz w:val="32"/>
          <w:szCs w:val="32"/>
          <w:lang w:val="zh-CN"/>
        </w:rPr>
        <w:t>。</w:t>
      </w:r>
    </w:p>
    <w:p>
      <w:pPr>
        <w:ind w:firstLine="640" w:firstLineChars="200"/>
        <w:rPr>
          <w:rFonts w:eastAsia="仿宋_GB2312"/>
          <w:sz w:val="32"/>
          <w:szCs w:val="32"/>
        </w:rPr>
      </w:pPr>
    </w:p>
    <w:p>
      <w:pPr>
        <w:ind w:firstLine="640" w:firstLineChars="200"/>
        <w:rPr>
          <w:rFonts w:eastAsia="仿宋_GB2312"/>
          <w:sz w:val="32"/>
          <w:szCs w:val="32"/>
        </w:rPr>
      </w:pPr>
      <w:r>
        <w:rPr>
          <w:rFonts w:eastAsia="仿宋_GB2312"/>
          <w:sz w:val="32"/>
          <w:szCs w:val="32"/>
        </w:rPr>
        <w:t>12</w:t>
      </w:r>
      <w:r>
        <w:rPr>
          <w:rFonts w:hint="eastAsia" w:eastAsia="仿宋_GB2312"/>
          <w:sz w:val="32"/>
          <w:szCs w:val="32"/>
        </w:rPr>
        <w:t>.社会保障和就业支出（类）行政事业单位养老支出（款）机关事业单位职业年金缴费支出（项）:支出决算数为13.34万元，比上年决算增加11.81万元，增长77</w:t>
      </w:r>
      <w:r>
        <w:rPr>
          <w:rFonts w:hint="eastAsia" w:eastAsia="仿宋_GB2312"/>
          <w:sz w:val="32"/>
          <w:szCs w:val="32"/>
          <w:lang w:val="en-US" w:eastAsia="zh-CN"/>
        </w:rPr>
        <w:t>1.9</w:t>
      </w:r>
      <w:r>
        <w:rPr>
          <w:rFonts w:hint="eastAsia" w:eastAsia="仿宋_GB2312"/>
          <w:sz w:val="32"/>
          <w:szCs w:val="32"/>
        </w:rPr>
        <w:t>0%，主要原因是：2</w:t>
      </w:r>
      <w:r>
        <w:rPr>
          <w:rFonts w:eastAsia="仿宋_GB2312"/>
          <w:sz w:val="32"/>
          <w:szCs w:val="32"/>
        </w:rPr>
        <w:t>023</w:t>
      </w:r>
      <w:r>
        <w:rPr>
          <w:rFonts w:hint="eastAsia" w:eastAsia="仿宋_GB2312"/>
          <w:sz w:val="32"/>
          <w:szCs w:val="32"/>
        </w:rPr>
        <w:t>年度本单位退休一名事业编制干部，财政一次性拨付职业年金导致职业年金支出增加；</w:t>
      </w:r>
    </w:p>
    <w:p>
      <w:pPr>
        <w:ind w:firstLine="640" w:firstLineChars="200"/>
        <w:rPr>
          <w:rFonts w:eastAsia="仿宋_GB2312"/>
          <w:sz w:val="32"/>
          <w:szCs w:val="32"/>
          <w:lang w:val="zh-CN"/>
        </w:rPr>
      </w:pPr>
      <w:r>
        <w:rPr>
          <w:rFonts w:eastAsia="仿宋_GB2312"/>
          <w:sz w:val="32"/>
          <w:szCs w:val="32"/>
        </w:rPr>
        <w:t>13</w:t>
      </w:r>
      <w:r>
        <w:rPr>
          <w:rFonts w:hint="eastAsia" w:eastAsia="仿宋_GB2312"/>
          <w:sz w:val="32"/>
          <w:szCs w:val="32"/>
        </w:rPr>
        <w:t>.社会保障和就业支出（类）就业补助（款）公益性岗位补贴（项）:支出决算数为60.00万元，比上年决算减少13.39万元，下降18.24%，主要原因是：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年度辞职5名公益性岗位工作人员导致公益性补贴支出减少。</w:t>
      </w:r>
    </w:p>
    <w:p>
      <w:pPr>
        <w:ind w:firstLine="640" w:firstLineChars="200"/>
        <w:rPr>
          <w:rFonts w:eastAsia="仿宋_GB2312"/>
          <w:sz w:val="32"/>
          <w:szCs w:val="32"/>
        </w:rPr>
      </w:pPr>
      <w:r>
        <w:rPr>
          <w:rFonts w:hint="eastAsia" w:eastAsia="仿宋_GB2312"/>
          <w:sz w:val="32"/>
          <w:szCs w:val="32"/>
        </w:rPr>
        <w:t>1</w:t>
      </w:r>
      <w:r>
        <w:rPr>
          <w:rFonts w:eastAsia="仿宋_GB2312"/>
          <w:sz w:val="32"/>
          <w:szCs w:val="32"/>
        </w:rPr>
        <w:t>4</w:t>
      </w:r>
      <w:r>
        <w:rPr>
          <w:rFonts w:hint="eastAsia" w:eastAsia="仿宋_GB2312"/>
          <w:sz w:val="32"/>
          <w:szCs w:val="32"/>
        </w:rPr>
        <w:t>.社会保障和就业支出（类）社会福利（款）儿童福利（项）:支出决算数为90.00万元，比上年决算增加90.00万元，增长100%，主要原因是：巴州下拨2023年积极应对人口老龄化工程和托育建设中央基建经费9</w:t>
      </w:r>
      <w:r>
        <w:rPr>
          <w:rFonts w:eastAsia="仿宋_GB2312"/>
          <w:sz w:val="32"/>
          <w:szCs w:val="32"/>
        </w:rPr>
        <w:t>0</w:t>
      </w:r>
      <w:r>
        <w:rPr>
          <w:rFonts w:hint="eastAsia" w:eastAsia="仿宋_GB2312"/>
          <w:sz w:val="32"/>
          <w:szCs w:val="32"/>
        </w:rPr>
        <w:t>万用于改造建筑面积1254平方米，新增托位100个，配套附属设施，购置相关设备，推动库尔勒市托育服务业发展，有效改善城市居民3岁以内婴幼儿入托难、入托贵等问题，该项目已完成。</w:t>
      </w:r>
    </w:p>
    <w:p>
      <w:pPr>
        <w:ind w:firstLine="640" w:firstLineChars="200"/>
        <w:rPr>
          <w:rFonts w:eastAsia="仿宋_GB2312"/>
          <w:sz w:val="32"/>
          <w:szCs w:val="32"/>
        </w:rPr>
      </w:pPr>
      <w:r>
        <w:rPr>
          <w:rFonts w:hint="eastAsia" w:eastAsia="仿宋_GB2312"/>
          <w:sz w:val="32"/>
          <w:szCs w:val="32"/>
        </w:rPr>
        <w:t>1</w:t>
      </w:r>
      <w:r>
        <w:rPr>
          <w:rFonts w:eastAsia="仿宋_GB2312"/>
          <w:sz w:val="32"/>
          <w:szCs w:val="32"/>
        </w:rPr>
        <w:t>5.</w:t>
      </w:r>
      <w:r>
        <w:rPr>
          <w:rFonts w:hint="eastAsia" w:eastAsia="仿宋_GB2312"/>
          <w:sz w:val="32"/>
          <w:szCs w:val="32"/>
        </w:rPr>
        <w:t>卫生健康支出（类）行政事业单位医疗（款）行政单位医疗（项）:支出决算数为20.85万元，比上年决算增加7.42万元，增长55.26%，主要原因是：一是2</w:t>
      </w:r>
      <w:r>
        <w:rPr>
          <w:rFonts w:eastAsia="仿宋_GB2312"/>
          <w:sz w:val="32"/>
          <w:szCs w:val="32"/>
        </w:rPr>
        <w:t>023</w:t>
      </w:r>
      <w:r>
        <w:rPr>
          <w:rFonts w:hint="eastAsia" w:eastAsia="仿宋_GB2312"/>
          <w:sz w:val="32"/>
          <w:szCs w:val="32"/>
        </w:rPr>
        <w:t>年度在职在编人员半年内正常升级增资、增绩效工资、补发绩效工资幅度较大；二是退休人员补发绩效工资；三是由于工资增资，机关事业单位社保缴费增加；四是在职在编人员住房公积金缴费基数增加</w:t>
      </w:r>
      <w:r>
        <w:rPr>
          <w:rFonts w:hint="eastAsia" w:eastAsia="仿宋_GB2312"/>
          <w:sz w:val="32"/>
          <w:szCs w:val="32"/>
          <w:lang w:val="zh-CN"/>
        </w:rPr>
        <w:t>。</w:t>
      </w:r>
    </w:p>
    <w:p>
      <w:pPr>
        <w:ind w:firstLine="640" w:firstLineChars="200"/>
        <w:rPr>
          <w:rFonts w:eastAsia="仿宋_GB2312"/>
          <w:sz w:val="32"/>
          <w:szCs w:val="32"/>
          <w:lang w:val="zh-CN"/>
        </w:rPr>
      </w:pPr>
      <w:r>
        <w:rPr>
          <w:rFonts w:eastAsia="仿宋_GB2312"/>
          <w:sz w:val="32"/>
          <w:szCs w:val="32"/>
        </w:rPr>
        <w:t>16</w:t>
      </w:r>
      <w:r>
        <w:rPr>
          <w:rFonts w:hint="eastAsia" w:eastAsia="仿宋_GB2312"/>
          <w:sz w:val="32"/>
          <w:szCs w:val="32"/>
        </w:rPr>
        <w:t>.卫生健康支出（类）行政事业单位医疗（款）公务员医疗补助（项）:支出决算数为2.83万元，比上年决算增加1.54万元，增长11</w:t>
      </w:r>
      <w:r>
        <w:rPr>
          <w:rFonts w:hint="eastAsia" w:eastAsia="仿宋_GB2312"/>
          <w:sz w:val="32"/>
          <w:szCs w:val="32"/>
          <w:lang w:val="en-US" w:eastAsia="zh-CN"/>
        </w:rPr>
        <w:t>9.38</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年度新增7名工作人员，人员工资增加，公务员医疗补助提高。</w:t>
      </w:r>
    </w:p>
    <w:p>
      <w:pPr>
        <w:ind w:firstLine="640" w:firstLineChars="200"/>
        <w:rPr>
          <w:rFonts w:eastAsia="仿宋_GB2312"/>
          <w:sz w:val="32"/>
          <w:szCs w:val="32"/>
          <w:lang w:val="zh-CN"/>
        </w:rPr>
      </w:pPr>
      <w:r>
        <w:rPr>
          <w:rFonts w:eastAsia="仿宋_GB2312"/>
          <w:sz w:val="32"/>
          <w:szCs w:val="32"/>
        </w:rPr>
        <w:t>17</w:t>
      </w:r>
      <w:r>
        <w:rPr>
          <w:rFonts w:hint="eastAsia" w:eastAsia="仿宋_GB2312"/>
          <w:sz w:val="32"/>
          <w:szCs w:val="32"/>
        </w:rPr>
        <w:t>.住房保障支出（类）住房改革支出（款）住房公积金（项）:支出决算数为34.37万元，比上年决算增加4.11万元，增长13.59%，主要原因是：</w:t>
      </w:r>
      <w:r>
        <w:rPr>
          <w:rFonts w:hint="eastAsia" w:eastAsia="仿宋_GB2312"/>
          <w:sz w:val="32"/>
          <w:szCs w:val="32"/>
          <w:lang w:val="zh-CN"/>
        </w:rPr>
        <w:t>一是本单位2</w:t>
      </w:r>
      <w:r>
        <w:rPr>
          <w:rFonts w:eastAsia="仿宋_GB2312"/>
          <w:sz w:val="32"/>
          <w:szCs w:val="32"/>
          <w:lang w:val="zh-CN"/>
        </w:rPr>
        <w:t>023</w:t>
      </w:r>
      <w:r>
        <w:rPr>
          <w:rFonts w:hint="eastAsia" w:eastAsia="仿宋_GB2312"/>
          <w:sz w:val="32"/>
          <w:szCs w:val="32"/>
          <w:lang w:val="zh-CN"/>
        </w:rPr>
        <w:t>年度新招录7名事业编制工作人员，人员工资增加，住房公积金缴纳增加；二是2</w:t>
      </w:r>
      <w:r>
        <w:rPr>
          <w:rFonts w:eastAsia="仿宋_GB2312"/>
          <w:sz w:val="32"/>
          <w:szCs w:val="32"/>
          <w:lang w:val="zh-CN"/>
        </w:rPr>
        <w:t>023</w:t>
      </w:r>
      <w:r>
        <w:rPr>
          <w:rFonts w:hint="eastAsia" w:eastAsia="仿宋_GB2312"/>
          <w:sz w:val="32"/>
          <w:szCs w:val="32"/>
          <w:lang w:val="zh-CN"/>
        </w:rPr>
        <w:t>年度住房公积金基数提高。</w:t>
      </w:r>
    </w:p>
    <w:p>
      <w:pPr>
        <w:ind w:firstLine="640" w:firstLineChars="200"/>
        <w:rPr>
          <w:rFonts w:eastAsia="仿宋_GB2312"/>
          <w:sz w:val="32"/>
          <w:szCs w:val="32"/>
        </w:rPr>
      </w:pPr>
      <w:r>
        <w:rPr>
          <w:rFonts w:hint="eastAsia" w:eastAsia="仿宋_GB2312"/>
          <w:sz w:val="32"/>
          <w:szCs w:val="32"/>
        </w:rPr>
        <w:t>18.卫生健康支出（类）公共卫生（款）突发公共卫生事件应急处理（项）:支出决算数为0.00万元，比上年决算减少5.31万元，下降100%，主要原因是：上年受疫情影响，上级对我单位疫情防控专项经费增加，本年没有此项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1,123.12万元，其中：人员经费1,065.82万元，包括：基本工资、津贴补贴、奖金、机关事业单位基本养老保险缴费、职业年金缴费、职工基本医疗保险缴费、公务员医疗补助缴费、其他社会保障缴费、住房公积金、其他工资福利支出、退休费、生活补助。</w:t>
      </w:r>
    </w:p>
    <w:p>
      <w:pPr>
        <w:ind w:firstLine="640" w:firstLineChars="200"/>
        <w:rPr>
          <w:rFonts w:ascii="仿宋_GB2312" w:eastAsia="仿宋_GB2312"/>
          <w:sz w:val="32"/>
          <w:szCs w:val="32"/>
          <w:highlight w:val="red"/>
        </w:rPr>
      </w:pPr>
      <w:r>
        <w:rPr>
          <w:rFonts w:hint="eastAsia" w:ascii="仿宋_GB2312" w:eastAsia="仿宋_GB2312"/>
          <w:sz w:val="32"/>
          <w:szCs w:val="32"/>
        </w:rPr>
        <w:t>公用经费57.30万元，包括：办公费、电费、取暖费、差旅费、维修（护）费、租赁费、培训费、专用材料费、劳务费、委托业务费、工会经费、福利费、公务用车运行维护费。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“三公”经费支出1.73万元，</w:t>
      </w:r>
      <w:r>
        <w:rPr>
          <w:rFonts w:hint="eastAsia" w:ascii="仿宋_GB2312" w:eastAsia="仿宋_GB2312"/>
          <w:sz w:val="32"/>
          <w:szCs w:val="32"/>
        </w:rPr>
        <w:t>比上年</w:t>
      </w:r>
      <w:r>
        <w:rPr>
          <w:rFonts w:hint="eastAsia" w:ascii="仿宋_GB2312" w:eastAsia="仿宋_GB2312"/>
          <w:sz w:val="32"/>
          <w:szCs w:val="32"/>
          <w:lang w:val="zh-CN"/>
        </w:rPr>
        <w:t>增加1.73万元，增长</w:t>
      </w:r>
      <w:r>
        <w:rPr>
          <w:rFonts w:hint="eastAsia" w:ascii="仿宋_GB2312" w:eastAsia="仿宋_GB2312"/>
          <w:sz w:val="32"/>
          <w:szCs w:val="32"/>
          <w:lang w:val="en-US" w:eastAsia="zh-CN"/>
        </w:rPr>
        <w:t>10</w:t>
      </w:r>
      <w:r>
        <w:rPr>
          <w:rFonts w:hint="eastAsia" w:ascii="仿宋_GB2312" w:eastAsia="仿宋_GB2312"/>
          <w:sz w:val="32"/>
          <w:szCs w:val="32"/>
          <w:lang w:val="zh-CN"/>
        </w:rPr>
        <w:t>0.00%，主要原因是：上年疫情原因，多项工作无法开展，本年根据工作需要，大力开展工作力度，“三公”经费增加。其中：因公出国（境）费支出0.00万元，占0.00%，比上年增加0.00万元，增长0.00%，主要原因是：我单位无因公出国（境）费支出；公务用车购置及运行维护费支出1.73万元，占100.00%，比上年增加1.73万元，增长</w:t>
      </w:r>
      <w:r>
        <w:rPr>
          <w:rFonts w:hint="eastAsia" w:ascii="仿宋_GB2312" w:eastAsia="仿宋_GB2312"/>
          <w:sz w:val="32"/>
          <w:szCs w:val="32"/>
          <w:lang w:val="en-US" w:eastAsia="zh-CN"/>
        </w:rPr>
        <w:t>100</w:t>
      </w:r>
      <w:r>
        <w:rPr>
          <w:rFonts w:hint="eastAsia" w:ascii="仿宋_GB2312" w:eastAsia="仿宋_GB2312"/>
          <w:sz w:val="32"/>
          <w:szCs w:val="32"/>
          <w:lang w:val="zh-CN"/>
        </w:rPr>
        <w:t>.00%，主要原因是：2</w:t>
      </w:r>
      <w:r>
        <w:rPr>
          <w:rFonts w:ascii="仿宋_GB2312" w:eastAsia="仿宋_GB2312"/>
          <w:sz w:val="32"/>
          <w:szCs w:val="32"/>
          <w:lang w:val="zh-CN"/>
        </w:rPr>
        <w:t>023</w:t>
      </w:r>
      <w:r>
        <w:rPr>
          <w:rFonts w:hint="eastAsia" w:ascii="仿宋_GB2312" w:eastAsia="仿宋_GB2312"/>
          <w:sz w:val="32"/>
          <w:szCs w:val="32"/>
          <w:lang w:val="zh-CN"/>
        </w:rPr>
        <w:t>年度车辆保险及燃油费</w:t>
      </w:r>
      <w:r>
        <w:rPr>
          <w:rFonts w:hint="eastAsia" w:ascii="仿宋_GB2312" w:eastAsia="仿宋_GB2312"/>
          <w:sz w:val="32"/>
          <w:szCs w:val="32"/>
          <w:lang w:val="en-US" w:eastAsia="zh-CN"/>
        </w:rPr>
        <w:t>增加</w:t>
      </w:r>
      <w:r>
        <w:rPr>
          <w:rFonts w:hint="eastAsia" w:ascii="仿宋_GB2312" w:eastAsia="仿宋_GB2312"/>
          <w:sz w:val="32"/>
          <w:szCs w:val="32"/>
          <w:lang w:val="zh-CN"/>
        </w:rPr>
        <w:t>；公务接待费支出0.00万元，占0.00%，比上年增加0.00万元，增长0.00%，主要原因是：2</w:t>
      </w:r>
      <w:r>
        <w:rPr>
          <w:rFonts w:ascii="仿宋_GB2312" w:eastAsia="仿宋_GB2312"/>
          <w:sz w:val="32"/>
          <w:szCs w:val="32"/>
          <w:lang w:val="zh-CN"/>
        </w:rPr>
        <w:t>023</w:t>
      </w:r>
      <w:r>
        <w:rPr>
          <w:rFonts w:hint="eastAsia" w:ascii="仿宋_GB2312" w:eastAsia="仿宋_GB2312"/>
          <w:sz w:val="32"/>
          <w:szCs w:val="32"/>
          <w:lang w:val="zh-CN"/>
        </w:rPr>
        <w:t>年度我单位没有开展公务接待活动。</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因公出国（境）费支出0.00万元，开支内容包括：本年未安排因公出国（境）费支出，无开支内容。单位全年安排的因公出国（境）团组0个，因公出国（境）0人次。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1.73万元，其中：公务用车购置费0.00万元，公务用车运行维护费1.73万元。公务用车运行维护费开支内容包括车辆保险、车辆燃油费。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公务接待费0.00万元，开支内容包括：本年未安排公务接待费支出，无开支内容。单位全年安排的国内公务接待0批次，0人次。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预算数1.73万元，决算数1.73万元，预决算差异率0.00%，主要原因是：预决算无差异。其中：因公出国（境）费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预算数1.73万元，决算数1.73万元，预决算差异率0.00%，主要原因是：预决算无差异；公务接待费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预算数0.00万元，决算数0.00万元，预决算差异率0.00%，主要原因是：我单位无公务接待支出。</w:t>
      </w:r>
    </w:p>
    <w:p>
      <w:pPr>
        <w:ind w:firstLine="640" w:firstLineChars="200"/>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总计5.90</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本年收入5.90</w:t>
      </w:r>
      <w:r>
        <w:rPr>
          <w:rFonts w:hint="eastAsia" w:eastAsia="仿宋_GB2312"/>
          <w:sz w:val="32"/>
          <w:szCs w:val="32"/>
          <w:lang w:val="zh-CN"/>
        </w:rPr>
        <w:t>万元。政府性基金预算财政拨款支出</w:t>
      </w:r>
      <w:r>
        <w:rPr>
          <w:rFonts w:hint="eastAsia" w:eastAsia="仿宋_GB2312"/>
          <w:sz w:val="32"/>
          <w:szCs w:val="32"/>
        </w:rPr>
        <w:t>总计5.90</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本年支出5.90</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与上年相比，增加5.90万元，增长</w:t>
      </w:r>
      <w:r>
        <w:rPr>
          <w:rFonts w:hint="eastAsia" w:eastAsia="仿宋_GB2312"/>
          <w:sz w:val="32"/>
          <w:szCs w:val="32"/>
          <w:lang w:val="en-US" w:eastAsia="zh-CN"/>
        </w:rPr>
        <w:t>100</w:t>
      </w:r>
      <w:r>
        <w:rPr>
          <w:rFonts w:hint="eastAsia" w:eastAsia="仿宋_GB2312"/>
          <w:sz w:val="32"/>
          <w:szCs w:val="32"/>
          <w:lang w:val="zh-CN"/>
        </w:rPr>
        <w:t>.00%，主要原因是：2</w:t>
      </w:r>
      <w:r>
        <w:rPr>
          <w:rFonts w:eastAsia="仿宋_GB2312"/>
          <w:sz w:val="32"/>
          <w:szCs w:val="32"/>
          <w:lang w:val="zh-CN"/>
        </w:rPr>
        <w:t>023</w:t>
      </w:r>
      <w:r>
        <w:rPr>
          <w:rFonts w:hint="eastAsia" w:eastAsia="仿宋_GB2312"/>
          <w:sz w:val="32"/>
          <w:szCs w:val="32"/>
          <w:lang w:val="zh-CN"/>
        </w:rPr>
        <w:t>年度有其他国有土地使用权出让收入安排的支出费用。与年初预算相比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0"/>
          <w:szCs w:val="30"/>
        </w:rPr>
        <w:t>5.90</w:t>
      </w:r>
      <w:r>
        <w:rPr>
          <w:rFonts w:hint="eastAsia" w:eastAsia="仿宋_GB2312"/>
          <w:sz w:val="32"/>
          <w:szCs w:val="32"/>
          <w:lang w:val="zh-CN"/>
        </w:rPr>
        <w:t>万元，预决算差异率</w:t>
      </w:r>
      <w:r>
        <w:rPr>
          <w:rFonts w:hint="eastAsia" w:eastAsia="仿宋_GB2312"/>
          <w:sz w:val="32"/>
          <w:szCs w:val="32"/>
          <w:lang w:val="en-US" w:eastAsia="zh-CN"/>
        </w:rPr>
        <w:t>10</w:t>
      </w:r>
      <w:r>
        <w:rPr>
          <w:rFonts w:hint="eastAsia" w:eastAsia="仿宋_GB2312"/>
          <w:sz w:val="32"/>
          <w:szCs w:val="32"/>
          <w:lang w:val="zh-CN"/>
        </w:rPr>
        <w:t>0.00%，主要原因是：2</w:t>
      </w:r>
      <w:r>
        <w:rPr>
          <w:rFonts w:eastAsia="仿宋_GB2312"/>
          <w:sz w:val="32"/>
          <w:szCs w:val="32"/>
          <w:lang w:val="zh-CN"/>
        </w:rPr>
        <w:t>023</w:t>
      </w:r>
      <w:r>
        <w:rPr>
          <w:rFonts w:hint="eastAsia" w:eastAsia="仿宋_GB2312"/>
          <w:sz w:val="32"/>
          <w:szCs w:val="32"/>
          <w:lang w:val="zh-CN"/>
        </w:rPr>
        <w:t>年度有国有土地使用权出让收入安排的支出费用。</w:t>
      </w:r>
    </w:p>
    <w:p>
      <w:pPr>
        <w:ind w:firstLine="640" w:firstLineChars="200"/>
        <w:rPr>
          <w:rFonts w:eastAsia="仿宋_GB2312"/>
          <w:sz w:val="32"/>
          <w:szCs w:val="32"/>
        </w:rPr>
      </w:pPr>
      <w:r>
        <w:rPr>
          <w:rFonts w:hint="eastAsia" w:eastAsia="仿宋_GB2312"/>
          <w:sz w:val="32"/>
          <w:szCs w:val="32"/>
          <w:lang w:val="zh-CN"/>
        </w:rPr>
        <w:t>政府性基金预算财政拨款支出5.90万元。</w:t>
      </w:r>
    </w:p>
    <w:p>
      <w:pPr>
        <w:ind w:firstLine="640" w:firstLineChars="200"/>
        <w:rPr>
          <w:rFonts w:eastAsia="仿宋_GB2312"/>
          <w:sz w:val="32"/>
          <w:szCs w:val="32"/>
          <w:lang w:val="zh-CN"/>
        </w:rPr>
      </w:pPr>
      <w:r>
        <w:rPr>
          <w:rFonts w:hint="eastAsia" w:eastAsia="仿宋_GB2312"/>
          <w:sz w:val="32"/>
          <w:szCs w:val="32"/>
          <w:lang w:val="zh-CN"/>
        </w:rPr>
        <w:t>1.城乡社区支出（类）国有土地使用权出让收入安排的支出（款）其他国有土地使用权出让收入安排的支出（项）:支出决算数为5.90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5.90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100%，主要原因是：一是2</w:t>
      </w:r>
      <w:r>
        <w:rPr>
          <w:rFonts w:eastAsia="仿宋_GB2312"/>
          <w:sz w:val="32"/>
          <w:szCs w:val="32"/>
          <w:lang w:val="zh-CN"/>
        </w:rPr>
        <w:t>023</w:t>
      </w:r>
      <w:r>
        <w:rPr>
          <w:rFonts w:hint="eastAsia" w:eastAsia="仿宋_GB2312"/>
          <w:sz w:val="32"/>
          <w:szCs w:val="32"/>
          <w:lang w:val="zh-CN"/>
        </w:rPr>
        <w:t>年度购买专用设备1万元；二是支付维修维护费用4</w:t>
      </w:r>
      <w:r>
        <w:rPr>
          <w:rFonts w:eastAsia="仿宋_GB2312"/>
          <w:sz w:val="32"/>
          <w:szCs w:val="32"/>
          <w:lang w:val="zh-CN"/>
        </w:rPr>
        <w:t>.90</w:t>
      </w:r>
      <w:r>
        <w:rPr>
          <w:rFonts w:hint="eastAsia" w:eastAsia="仿宋_GB2312"/>
          <w:sz w:val="32"/>
          <w:szCs w:val="32"/>
          <w:lang w:val="zh-CN"/>
        </w:rPr>
        <w:t>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eastAsia="仿宋_GB2312"/>
          <w:sz w:val="32"/>
          <w:szCs w:val="32"/>
          <w:lang w:val="zh-CN"/>
        </w:rPr>
      </w:pPr>
      <w:r>
        <w:rPr>
          <w:rFonts w:hint="eastAsia" w:eastAsia="仿宋_GB2312"/>
          <w:sz w:val="32"/>
          <w:szCs w:val="32"/>
          <w:lang w:val="zh-CN"/>
        </w:rPr>
        <w:t>2023年度国有资本经营预算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总计6.11</w:t>
      </w:r>
      <w:r>
        <w:rPr>
          <w:rFonts w:hint="eastAsia" w:eastAsia="仿宋_GB2312"/>
          <w:sz w:val="32"/>
          <w:szCs w:val="32"/>
          <w:lang w:val="zh-CN"/>
        </w:rPr>
        <w:t>万元，</w:t>
      </w:r>
      <w:r>
        <w:rPr>
          <w:rFonts w:hint="eastAsia" w:eastAsia="仿宋_GB2312"/>
          <w:sz w:val="32"/>
          <w:szCs w:val="32"/>
        </w:rPr>
        <w:t>其中：年初结转和结余</w:t>
      </w:r>
      <w:r>
        <w:rPr>
          <w:rFonts w:hint="eastAsia" w:eastAsia="仿宋_GB2312"/>
          <w:sz w:val="32"/>
          <w:szCs w:val="32"/>
          <w:lang w:val="zh-CN"/>
        </w:rPr>
        <w:t>0.00万元，</w:t>
      </w:r>
      <w:r>
        <w:rPr>
          <w:rFonts w:hint="eastAsia" w:eastAsia="仿宋_GB2312"/>
          <w:sz w:val="32"/>
          <w:szCs w:val="32"/>
        </w:rPr>
        <w:t>本年收入</w:t>
      </w:r>
      <w:r>
        <w:rPr>
          <w:rFonts w:hint="eastAsia" w:eastAsia="仿宋_GB2312"/>
          <w:sz w:val="32"/>
          <w:szCs w:val="32"/>
          <w:lang w:val="zh-CN"/>
        </w:rPr>
        <w:t>6.11万元。国有资本经营预算财政拨款支出</w:t>
      </w:r>
      <w:r>
        <w:rPr>
          <w:rFonts w:hint="eastAsia" w:eastAsia="仿宋_GB2312"/>
          <w:sz w:val="32"/>
          <w:szCs w:val="32"/>
        </w:rPr>
        <w:t>总计6.11</w:t>
      </w:r>
      <w:r>
        <w:rPr>
          <w:rFonts w:hint="eastAsia" w:eastAsia="仿宋_GB2312"/>
          <w:sz w:val="32"/>
          <w:szCs w:val="32"/>
          <w:lang w:val="zh-CN"/>
        </w:rPr>
        <w:t>万元，</w:t>
      </w:r>
      <w:r>
        <w:rPr>
          <w:rFonts w:hint="eastAsia" w:eastAsia="仿宋_GB2312"/>
          <w:sz w:val="32"/>
          <w:szCs w:val="32"/>
        </w:rPr>
        <w:t>其中：年末结转和结余</w:t>
      </w:r>
      <w:r>
        <w:rPr>
          <w:rFonts w:hint="eastAsia" w:eastAsia="仿宋_GB2312"/>
          <w:sz w:val="32"/>
          <w:szCs w:val="32"/>
          <w:lang w:val="zh-CN"/>
        </w:rPr>
        <w:t>0.00万元，</w:t>
      </w:r>
      <w:r>
        <w:rPr>
          <w:rFonts w:hint="eastAsia" w:eastAsia="仿宋_GB2312"/>
          <w:sz w:val="32"/>
          <w:szCs w:val="32"/>
        </w:rPr>
        <w:t>本年支出</w:t>
      </w:r>
      <w:r>
        <w:rPr>
          <w:rFonts w:hint="eastAsia" w:eastAsia="仿宋_GB2312"/>
          <w:sz w:val="32"/>
          <w:szCs w:val="32"/>
          <w:lang w:val="zh-CN"/>
        </w:rPr>
        <w:t>6.11万元。</w:t>
      </w:r>
    </w:p>
    <w:p>
      <w:pPr>
        <w:ind w:firstLine="640" w:firstLineChars="200"/>
        <w:rPr>
          <w:rFonts w:hint="eastAsia" w:eastAsia="仿宋_GB2312"/>
          <w:sz w:val="32"/>
          <w:szCs w:val="32"/>
          <w:lang w:val="zh-CN"/>
        </w:rPr>
      </w:pPr>
      <w:r>
        <w:rPr>
          <w:rFonts w:hint="eastAsia" w:eastAsia="仿宋_GB2312"/>
          <w:sz w:val="32"/>
          <w:szCs w:val="32"/>
          <w:lang w:val="zh-CN"/>
        </w:rPr>
        <w:t>国有资本经营预算财政拨款</w:t>
      </w:r>
      <w:r>
        <w:rPr>
          <w:rFonts w:hint="eastAsia" w:eastAsia="仿宋_GB2312"/>
          <w:sz w:val="32"/>
          <w:szCs w:val="32"/>
        </w:rPr>
        <w:t>收入支出</w:t>
      </w:r>
      <w:r>
        <w:rPr>
          <w:rFonts w:hint="eastAsia" w:eastAsia="仿宋_GB2312"/>
          <w:sz w:val="32"/>
          <w:szCs w:val="32"/>
          <w:lang w:val="zh-CN"/>
        </w:rPr>
        <w:t>与上年相比，增加6.11万元，增长100.00%，主要原因是：2023年度发放2021年至2023年国有企业退休人员补助，导致决算数比上年增加。与年初预算相比，年初预算数</w:t>
      </w:r>
      <w:r>
        <w:rPr>
          <w:rFonts w:hint="eastAsia" w:eastAsia="仿宋_GB2312"/>
          <w:sz w:val="32"/>
          <w:szCs w:val="32"/>
        </w:rPr>
        <w:t>1.42</w:t>
      </w:r>
      <w:r>
        <w:rPr>
          <w:rFonts w:hint="eastAsia" w:eastAsia="仿宋_GB2312"/>
          <w:sz w:val="32"/>
          <w:szCs w:val="32"/>
          <w:lang w:val="zh-CN"/>
        </w:rPr>
        <w:t>万元，决算数</w:t>
      </w:r>
      <w:r>
        <w:rPr>
          <w:rFonts w:hint="eastAsia" w:eastAsia="仿宋_GB2312"/>
          <w:sz w:val="32"/>
          <w:szCs w:val="32"/>
        </w:rPr>
        <w:t>6.11</w:t>
      </w:r>
      <w:r>
        <w:rPr>
          <w:rFonts w:hint="eastAsia" w:eastAsia="仿宋_GB2312"/>
          <w:sz w:val="32"/>
          <w:szCs w:val="32"/>
          <w:lang w:val="zh-CN"/>
        </w:rPr>
        <w:t>万元，预决算差异率3</w:t>
      </w:r>
      <w:r>
        <w:rPr>
          <w:rFonts w:hint="eastAsia" w:eastAsia="仿宋_GB2312"/>
          <w:sz w:val="32"/>
          <w:szCs w:val="32"/>
          <w:lang w:val="en-US" w:eastAsia="zh-CN"/>
        </w:rPr>
        <w:t>30.28</w:t>
      </w:r>
      <w:r>
        <w:rPr>
          <w:rFonts w:hint="eastAsia" w:eastAsia="仿宋_GB2312"/>
          <w:sz w:val="32"/>
          <w:szCs w:val="32"/>
          <w:lang w:val="zh-CN"/>
        </w:rPr>
        <w:t>%，主要原因是：2023年度发放2021年至2023年国有企业退休人员补助，</w:t>
      </w:r>
      <w:r>
        <w:rPr>
          <w:rFonts w:hint="eastAsia" w:eastAsia="仿宋_GB2312"/>
          <w:sz w:val="32"/>
          <w:szCs w:val="32"/>
          <w:lang w:val="en-US" w:eastAsia="zh-CN"/>
        </w:rPr>
        <w:t>导致决算数比年初预算数增加。</w:t>
      </w:r>
    </w:p>
    <w:p>
      <w:pPr>
        <w:ind w:firstLine="640" w:firstLineChars="200"/>
        <w:rPr>
          <w:rFonts w:ascii="仿宋_GB2312" w:eastAsia="仿宋_GB2312"/>
          <w:sz w:val="32"/>
          <w:szCs w:val="32"/>
        </w:rPr>
      </w:pPr>
      <w:r>
        <w:rPr>
          <w:rFonts w:hint="eastAsia" w:eastAsia="仿宋_GB2312"/>
          <w:sz w:val="32"/>
          <w:szCs w:val="32"/>
          <w:lang w:val="zh-CN"/>
        </w:rPr>
        <w:t>国有资本经营预算财政拨款支出</w:t>
      </w:r>
      <w:r>
        <w:rPr>
          <w:rFonts w:hint="eastAsia" w:eastAsia="仿宋_GB2312"/>
          <w:sz w:val="32"/>
          <w:szCs w:val="32"/>
        </w:rPr>
        <w:t>6.11</w:t>
      </w:r>
      <w:r>
        <w:rPr>
          <w:rFonts w:hint="eastAsia" w:eastAsia="仿宋_GB2312"/>
          <w:sz w:val="32"/>
          <w:szCs w:val="32"/>
          <w:lang w:val="zh-CN"/>
        </w:rPr>
        <w:t>万元。</w:t>
      </w:r>
    </w:p>
    <w:p>
      <w:pPr>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1.国有资本经营预算支出（类）解决历史遗留问题及改革成本支出（款）国有企业退休人员社会化管理补助支出（项）:支出决算数为6.11万元，比上年决算</w:t>
      </w:r>
      <w:r>
        <w:rPr>
          <w:rFonts w:hint="eastAsia" w:eastAsia="仿宋_GB2312"/>
          <w:sz w:val="30"/>
          <w:szCs w:val="30"/>
        </w:rPr>
        <w:t>增加</w:t>
      </w:r>
      <w:r>
        <w:rPr>
          <w:rFonts w:hint="eastAsia" w:ascii="仿宋_GB2312" w:hAnsi="仿宋_GB2312" w:eastAsia="仿宋_GB2312" w:cs="仿宋_GB2312"/>
          <w:kern w:val="0"/>
          <w:sz w:val="32"/>
          <w:szCs w:val="32"/>
        </w:rPr>
        <w:t>6.11万元，</w:t>
      </w:r>
      <w:r>
        <w:rPr>
          <w:rFonts w:hint="eastAsia" w:eastAsia="仿宋_GB2312"/>
          <w:sz w:val="30"/>
          <w:szCs w:val="30"/>
        </w:rPr>
        <w:t>增长</w:t>
      </w:r>
      <w:r>
        <w:rPr>
          <w:rFonts w:hint="eastAsia" w:ascii="仿宋_GB2312" w:hAnsi="仿宋_GB2312" w:eastAsia="仿宋_GB2312" w:cs="仿宋_GB2312"/>
          <w:kern w:val="0"/>
          <w:sz w:val="32"/>
          <w:szCs w:val="32"/>
        </w:rPr>
        <w:t>100%，主要原因是：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年度发放2</w:t>
      </w:r>
      <w:r>
        <w:rPr>
          <w:rFonts w:eastAsia="仿宋_GB2312"/>
          <w:sz w:val="32"/>
          <w:szCs w:val="32"/>
          <w:lang w:val="zh-CN"/>
        </w:rPr>
        <w:t>021</w:t>
      </w:r>
      <w:r>
        <w:rPr>
          <w:rFonts w:hint="eastAsia" w:eastAsia="仿宋_GB2312"/>
          <w:sz w:val="32"/>
          <w:szCs w:val="32"/>
          <w:lang w:val="zh-CN"/>
        </w:rPr>
        <w:t>年至2</w:t>
      </w:r>
      <w:r>
        <w:rPr>
          <w:rFonts w:eastAsia="仿宋_GB2312"/>
          <w:sz w:val="32"/>
          <w:szCs w:val="32"/>
          <w:lang w:val="zh-CN"/>
        </w:rPr>
        <w:t>023</w:t>
      </w:r>
      <w:r>
        <w:rPr>
          <w:rFonts w:hint="eastAsia" w:eastAsia="仿宋_GB2312"/>
          <w:sz w:val="32"/>
          <w:szCs w:val="32"/>
          <w:lang w:val="zh-CN"/>
        </w:rPr>
        <w:t>年国有企业退休人员补助，</w:t>
      </w:r>
      <w:r>
        <w:rPr>
          <w:rFonts w:hint="eastAsia" w:eastAsia="仿宋_GB2312"/>
          <w:sz w:val="32"/>
          <w:szCs w:val="32"/>
          <w:lang w:val="en-US" w:eastAsia="zh-CN"/>
        </w:rPr>
        <w:t>导致决算数比上年增加。</w:t>
      </w:r>
    </w:p>
    <w:p>
      <w:pPr>
        <w:ind w:firstLine="640" w:firstLineChars="200"/>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库尔勒市丝路街道办事处（行政单位和参照公务员法管理事业单位）机关运行经费支出57.30万元，比上年增加23.43万元，增长69.18%,主要原因是：上年疫情原因，多项工作无法开展，本年根据工作需要，大力开展工作力度，行政运行经费增加。</w:t>
      </w:r>
    </w:p>
    <w:p>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eastAsia="仿宋_GB2312"/>
          <w:sz w:val="32"/>
          <w:szCs w:val="32"/>
          <w:lang w:val="zh-CN"/>
        </w:rPr>
      </w:pPr>
      <w:r>
        <w:rPr>
          <w:rFonts w:hint="eastAsia" w:eastAsia="仿宋_GB2312"/>
          <w:sz w:val="32"/>
          <w:szCs w:val="32"/>
          <w:lang w:val="zh-CN"/>
        </w:rPr>
        <w:t>2023年度政府采购支出总额104.96万元，其中：政府采购货物支出1.20万元、政府采购工程支出2.33万元、政府采购服务支出101.43万元。</w:t>
      </w:r>
    </w:p>
    <w:p>
      <w:pPr>
        <w:ind w:firstLine="640" w:firstLineChars="200"/>
        <w:rPr>
          <w:rFonts w:eastAsia="仿宋_GB2312"/>
          <w:sz w:val="32"/>
          <w:szCs w:val="32"/>
        </w:rPr>
      </w:pPr>
      <w:r>
        <w:rPr>
          <w:rFonts w:hint="eastAsia" w:eastAsia="仿宋_GB2312"/>
          <w:sz w:val="32"/>
          <w:szCs w:val="32"/>
          <w:lang w:val="zh-CN"/>
        </w:rPr>
        <w:t>授予中小企业合同金额104.96万元，占政府采购支出总额的100.00</w:t>
      </w:r>
      <w:r>
        <w:rPr>
          <w:rFonts w:eastAsia="仿宋_GB2312"/>
          <w:sz w:val="32"/>
          <w:szCs w:val="32"/>
          <w:lang w:val="zh-CN"/>
        </w:rPr>
        <w:t>%</w:t>
      </w:r>
      <w:r>
        <w:rPr>
          <w:rFonts w:hint="eastAsia" w:eastAsia="仿宋_GB2312"/>
          <w:sz w:val="32"/>
          <w:szCs w:val="32"/>
          <w:lang w:val="zh-CN"/>
        </w:rPr>
        <w:t>，其中：授予小微企业合同金额104.93万元，占政府采购支出总额的99.97</w:t>
      </w:r>
      <w:r>
        <w:rPr>
          <w:rFonts w:eastAsia="仿宋_GB2312"/>
          <w:sz w:val="32"/>
          <w:szCs w:val="32"/>
          <w:lang w:val="zh-CN"/>
        </w:rPr>
        <w:t>%</w:t>
      </w:r>
      <w:r>
        <w:rPr>
          <w:rFonts w:hint="eastAsia" w:eastAsia="仿宋_GB2312"/>
          <w:sz w:val="32"/>
          <w:szCs w:val="32"/>
        </w:rPr>
        <w:t>。</w:t>
      </w:r>
    </w:p>
    <w:p>
      <w:pPr>
        <w:ind w:firstLine="640" w:firstLineChars="200"/>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66.54</w:t>
      </w:r>
      <w:r>
        <w:rPr>
          <w:rFonts w:hint="eastAsia" w:eastAsia="仿宋_GB2312"/>
          <w:sz w:val="32"/>
          <w:szCs w:val="32"/>
        </w:rPr>
        <w:t>万元，房</w:t>
      </w:r>
      <w:r>
        <w:rPr>
          <w:rFonts w:hint="eastAsia" w:eastAsia="仿宋_GB2312"/>
          <w:sz w:val="32"/>
          <w:szCs w:val="32"/>
          <w:lang w:val="zh-CN"/>
        </w:rPr>
        <w:t>屋0.0平方米，价值0.00万元。车辆1辆，价值25.00万元，其中：副部（省）级及以上领导用车0辆、主要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用车0辆、其他用车1辆，其他用车主要是：单位公务用车；单价100万元（含）以上设备（不含车辆）0</w:t>
      </w:r>
      <w:r>
        <w:rPr>
          <w:rFonts w:hint="eastAsia" w:eastAsia="仿宋_GB2312"/>
          <w:sz w:val="32"/>
          <w:szCs w:val="32"/>
        </w:rPr>
        <w:t>台</w:t>
      </w:r>
      <w:r>
        <w:rPr>
          <w:rFonts w:hint="eastAsia" w:eastAsia="仿宋_GB2312"/>
          <w:sz w:val="32"/>
          <w:szCs w:val="32"/>
          <w:lang w:val="zh-CN"/>
        </w:rPr>
        <w:t>。</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1255.07</w:t>
      </w:r>
      <w:r>
        <w:rPr>
          <w:rFonts w:hint="eastAsia" w:ascii="仿宋_GB2312" w:eastAsia="仿宋_GB2312"/>
          <w:sz w:val="32"/>
          <w:szCs w:val="32"/>
        </w:rPr>
        <w:t>万元，实际执行总额</w:t>
      </w:r>
      <w:r>
        <w:rPr>
          <w:rFonts w:ascii="仿宋_GB2312" w:eastAsia="仿宋_GB2312"/>
          <w:sz w:val="32"/>
          <w:szCs w:val="32"/>
        </w:rPr>
        <w:t>1255.07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11</w:t>
      </w:r>
      <w:r>
        <w:rPr>
          <w:rFonts w:hint="eastAsia" w:ascii="仿宋_GB2312" w:eastAsia="仿宋_GB2312"/>
          <w:sz w:val="32"/>
          <w:szCs w:val="32"/>
        </w:rPr>
        <w:t>个，全年预算数1</w:t>
      </w:r>
      <w:r>
        <w:rPr>
          <w:rFonts w:ascii="仿宋_GB2312" w:eastAsia="仿宋_GB2312"/>
          <w:sz w:val="32"/>
          <w:szCs w:val="32"/>
        </w:rPr>
        <w:t>3</w:t>
      </w:r>
      <w:r>
        <w:rPr>
          <w:rFonts w:hint="eastAsia" w:ascii="仿宋_GB2312" w:eastAsia="仿宋_GB2312"/>
          <w:sz w:val="32"/>
          <w:szCs w:val="32"/>
          <w:lang w:val="en-US" w:eastAsia="zh-CN"/>
        </w:rPr>
        <w:t>7.8</w:t>
      </w:r>
      <w:r>
        <w:rPr>
          <w:rFonts w:hint="eastAsia" w:ascii="仿宋_GB2312" w:eastAsia="仿宋_GB2312"/>
          <w:sz w:val="32"/>
          <w:szCs w:val="32"/>
        </w:rPr>
        <w:t>万元，全年执行数</w:t>
      </w:r>
      <w:r>
        <w:rPr>
          <w:rFonts w:hint="eastAsia" w:ascii="仿宋_GB2312" w:eastAsia="仿宋_GB2312"/>
          <w:sz w:val="32"/>
          <w:szCs w:val="32"/>
          <w:lang w:val="en-US" w:eastAsia="zh-CN"/>
        </w:rPr>
        <w:t>131.95</w:t>
      </w:r>
      <w:r>
        <w:rPr>
          <w:rFonts w:hint="eastAsia" w:ascii="仿宋_GB2312" w:eastAsia="仿宋_GB2312"/>
          <w:sz w:val="32"/>
          <w:szCs w:val="32"/>
        </w:rPr>
        <w:t>万元。预算绩效管理取得的成效：一是提高了绩效目标的科学</w:t>
      </w:r>
      <w:bookmarkStart w:id="48" w:name="_GoBack"/>
      <w:bookmarkEnd w:id="48"/>
      <w:r>
        <w:rPr>
          <w:rFonts w:hint="eastAsia" w:ascii="仿宋_GB2312" w:eastAsia="仿宋_GB2312"/>
          <w:sz w:val="32"/>
          <w:szCs w:val="32"/>
        </w:rPr>
        <w:t>性、规范性、使用性；二是开展绩效自评提升了自评质量。发现的问题及原因：一是预算绩效观念不深入：在日常绩效监控工作中存在着一定程度的“重分配、轻管理、重支出、轻绩效”的情况，造成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具体项目自评情况附项目支出绩效自评表。</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r>
        <w:rPr>
          <w:rFonts w:hint="eastAsia" w:ascii="黑体" w:hAnsi="黑体" w:eastAsia="仿宋_GB2312" w:cs="宋体"/>
          <w:bCs/>
          <w:kern w:val="0"/>
          <w:sz w:val="32"/>
          <w:szCs w:val="32"/>
        </w:rPr>
        <w:t>（空表）</w:t>
      </w:r>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outlineLvl w:val="1"/>
        <w:rPr>
          <w:rFonts w:ascii="黑体" w:hAnsi="黑体" w:eastAsia="仿宋_GB2312" w:cs="宋体"/>
          <w:bCs/>
          <w:kern w:val="0"/>
          <w:sz w:val="32"/>
          <w:szCs w:val="32"/>
        </w:rPr>
      </w:pPr>
    </w:p>
    <w:p>
      <w:pPr>
        <w:outlineLvl w:val="1"/>
        <w:rPr>
          <w:rFonts w:ascii="黑体" w:hAnsi="黑体" w:eastAsia="仿宋_GB2312" w:cs="宋体"/>
          <w:bCs/>
          <w:kern w:val="0"/>
          <w:sz w:val="32"/>
          <w:szCs w:val="32"/>
        </w:rPr>
      </w:pPr>
      <w:r>
        <w:rPr>
          <w:rFonts w:hint="eastAsia"/>
        </w:rPr>
        <w:drawing>
          <wp:inline distT="0" distB="0" distL="0" distR="0">
            <wp:extent cx="5763260" cy="802322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80954" cy="8048171"/>
                    </a:xfrm>
                    <a:prstGeom prst="rect">
                      <a:avLst/>
                    </a:prstGeom>
                    <a:noFill/>
                    <a:ln>
                      <a:noFill/>
                    </a:ln>
                  </pic:spPr>
                </pic:pic>
              </a:graphicData>
            </a:graphic>
          </wp:inline>
        </w:drawing>
      </w:r>
    </w:p>
    <w:p>
      <w:pPr>
        <w:outlineLvl w:val="1"/>
        <w:rPr>
          <w:rFonts w:ascii="黑体" w:hAnsi="黑体" w:eastAsia="仿宋_GB2312" w:cs="宋体"/>
          <w:bCs/>
          <w:kern w:val="0"/>
          <w:sz w:val="32"/>
          <w:szCs w:val="32"/>
        </w:rPr>
      </w:pPr>
    </w:p>
    <w:p>
      <w:pPr>
        <w:outlineLvl w:val="1"/>
        <w:rPr>
          <w:rFonts w:ascii="黑体" w:hAnsi="黑体" w:eastAsia="仿宋_GB2312" w:cs="宋体"/>
          <w:bCs/>
          <w:kern w:val="0"/>
          <w:sz w:val="32"/>
          <w:szCs w:val="32"/>
        </w:rPr>
      </w:pPr>
      <w:r>
        <w:drawing>
          <wp:anchor distT="0" distB="0" distL="114300" distR="114300" simplePos="0" relativeHeight="251659264" behindDoc="0" locked="0" layoutInCell="1" allowOverlap="1">
            <wp:simplePos x="0" y="0"/>
            <wp:positionH relativeFrom="column">
              <wp:posOffset>-352425</wp:posOffset>
            </wp:positionH>
            <wp:positionV relativeFrom="paragraph">
              <wp:posOffset>-7620</wp:posOffset>
            </wp:positionV>
            <wp:extent cx="6407785" cy="8450580"/>
            <wp:effectExtent l="0" t="0" r="12065" b="7620"/>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6407785" cy="8450580"/>
                    </a:xfrm>
                    <a:prstGeom prst="rect">
                      <a:avLst/>
                    </a:prstGeom>
                    <a:noFill/>
                    <a:ln>
                      <a:noFill/>
                    </a:ln>
                  </pic:spPr>
                </pic:pic>
              </a:graphicData>
            </a:graphic>
          </wp:anchor>
        </w:drawing>
      </w:r>
    </w:p>
    <w:p>
      <w:pPr>
        <w:outlineLvl w:val="1"/>
        <w:rPr>
          <w:rFonts w:ascii="黑体" w:hAnsi="黑体" w:eastAsia="仿宋_GB2312" w:cs="宋体"/>
          <w:bCs/>
          <w:kern w:val="0"/>
          <w:sz w:val="32"/>
          <w:szCs w:val="32"/>
        </w:rPr>
      </w:pPr>
      <w:r>
        <w:rPr>
          <w:rFonts w:hint="eastAsia"/>
        </w:rPr>
        <w:drawing>
          <wp:inline distT="0" distB="0" distL="0" distR="0">
            <wp:extent cx="5685790" cy="8422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704850" cy="8451018"/>
                    </a:xfrm>
                    <a:prstGeom prst="rect">
                      <a:avLst/>
                    </a:prstGeom>
                    <a:noFill/>
                    <a:ln>
                      <a:noFill/>
                    </a:ln>
                  </pic:spPr>
                </pic:pic>
              </a:graphicData>
            </a:graphic>
          </wp:inline>
        </w:drawing>
      </w:r>
    </w:p>
    <w:p>
      <w:pPr>
        <w:outlineLvl w:val="1"/>
        <w:rPr>
          <w:rFonts w:ascii="黑体" w:hAnsi="黑体" w:eastAsia="仿宋_GB2312" w:cs="宋体"/>
          <w:bCs/>
          <w:kern w:val="0"/>
          <w:sz w:val="32"/>
          <w:szCs w:val="32"/>
        </w:rPr>
      </w:pPr>
      <w:r>
        <w:drawing>
          <wp:anchor distT="0" distB="0" distL="114300" distR="114300" simplePos="0" relativeHeight="251660288" behindDoc="0" locked="0" layoutInCell="1" allowOverlap="1">
            <wp:simplePos x="0" y="0"/>
            <wp:positionH relativeFrom="column">
              <wp:posOffset>-266700</wp:posOffset>
            </wp:positionH>
            <wp:positionV relativeFrom="paragraph">
              <wp:posOffset>89535</wp:posOffset>
            </wp:positionV>
            <wp:extent cx="6155055" cy="8473440"/>
            <wp:effectExtent l="0" t="0" r="17145" b="3810"/>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8"/>
                    <a:stretch>
                      <a:fillRect/>
                    </a:stretch>
                  </pic:blipFill>
                  <pic:spPr>
                    <a:xfrm>
                      <a:off x="0" y="0"/>
                      <a:ext cx="6155055" cy="8473440"/>
                    </a:xfrm>
                    <a:prstGeom prst="rect">
                      <a:avLst/>
                    </a:prstGeom>
                    <a:noFill/>
                    <a:ln>
                      <a:noFill/>
                    </a:ln>
                  </pic:spPr>
                </pic:pic>
              </a:graphicData>
            </a:graphic>
          </wp:anchor>
        </w:drawing>
      </w:r>
    </w:p>
    <w:p>
      <w:pPr>
        <w:outlineLvl w:val="1"/>
        <w:rPr>
          <w:rFonts w:ascii="黑体" w:hAnsi="黑体" w:eastAsia="仿宋_GB2312" w:cs="宋体"/>
          <w:bCs/>
          <w:kern w:val="0"/>
          <w:sz w:val="32"/>
          <w:szCs w:val="32"/>
        </w:rPr>
      </w:pPr>
      <w:r>
        <w:rPr>
          <w:rFonts w:hint="eastAsia"/>
        </w:rPr>
        <w:drawing>
          <wp:inline distT="0" distB="0" distL="0" distR="0">
            <wp:extent cx="5678805" cy="84289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688766" cy="8443268"/>
                    </a:xfrm>
                    <a:prstGeom prst="rect">
                      <a:avLst/>
                    </a:prstGeom>
                    <a:noFill/>
                    <a:ln>
                      <a:noFill/>
                    </a:ln>
                  </pic:spPr>
                </pic:pic>
              </a:graphicData>
            </a:graphic>
          </wp:inline>
        </w:drawing>
      </w:r>
    </w:p>
    <w:p>
      <w:pPr>
        <w:outlineLvl w:val="1"/>
        <w:rPr>
          <w:rFonts w:ascii="黑体" w:hAnsi="黑体" w:eastAsia="仿宋_GB2312" w:cs="宋体"/>
          <w:bCs/>
          <w:kern w:val="0"/>
          <w:sz w:val="32"/>
          <w:szCs w:val="32"/>
        </w:rPr>
      </w:pPr>
      <w:r>
        <w:drawing>
          <wp:anchor distT="0" distB="0" distL="114300" distR="114300" simplePos="0" relativeHeight="251661312" behindDoc="0" locked="0" layoutInCell="1" allowOverlap="1">
            <wp:simplePos x="0" y="0"/>
            <wp:positionH relativeFrom="column">
              <wp:posOffset>-295275</wp:posOffset>
            </wp:positionH>
            <wp:positionV relativeFrom="paragraph">
              <wp:posOffset>19050</wp:posOffset>
            </wp:positionV>
            <wp:extent cx="6306185" cy="8208010"/>
            <wp:effectExtent l="0" t="0" r="18415" b="2540"/>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6306185" cy="8208010"/>
                    </a:xfrm>
                    <a:prstGeom prst="rect">
                      <a:avLst/>
                    </a:prstGeom>
                    <a:noFill/>
                    <a:ln>
                      <a:noFill/>
                    </a:ln>
                  </pic:spPr>
                </pic:pic>
              </a:graphicData>
            </a:graphic>
          </wp:anchor>
        </w:drawing>
      </w:r>
    </w:p>
    <w:p>
      <w:pPr>
        <w:outlineLvl w:val="1"/>
        <w:rPr>
          <w:rFonts w:ascii="黑体" w:hAnsi="黑体" w:eastAsia="仿宋_GB2312" w:cs="宋体"/>
          <w:bCs/>
          <w:kern w:val="0"/>
          <w:sz w:val="32"/>
          <w:szCs w:val="32"/>
        </w:rPr>
      </w:pPr>
    </w:p>
    <w:p>
      <w:pPr>
        <w:outlineLvl w:val="1"/>
        <w:rPr>
          <w:rFonts w:ascii="黑体" w:hAnsi="黑体" w:eastAsia="仿宋_GB2312" w:cs="宋体"/>
          <w:bCs/>
          <w:kern w:val="0"/>
          <w:sz w:val="32"/>
          <w:szCs w:val="32"/>
        </w:rPr>
      </w:pPr>
      <w:r>
        <w:drawing>
          <wp:inline distT="0" distB="0" distL="0" distR="0">
            <wp:extent cx="5686425" cy="33420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00340" cy="3349965"/>
                    </a:xfrm>
                    <a:prstGeom prst="rect">
                      <a:avLst/>
                    </a:prstGeom>
                    <a:noFill/>
                    <a:ln>
                      <a:noFill/>
                    </a:ln>
                  </pic:spPr>
                </pic:pic>
              </a:graphicData>
            </a:graphic>
          </wp:inline>
        </w:drawing>
      </w:r>
    </w:p>
    <w:p>
      <w:pPr>
        <w:ind w:firstLine="640" w:firstLineChars="200"/>
        <w:outlineLvl w:val="1"/>
        <w:rPr>
          <w:rFonts w:ascii="黑体" w:hAnsi="黑体" w:eastAsia="仿宋_GB2312" w:cs="宋体"/>
          <w:bCs/>
          <w:kern w:val="0"/>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inline distT="0" distB="0" distL="0" distR="0">
            <wp:extent cx="5687060" cy="3084195"/>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693818" cy="3088140"/>
                    </a:xfrm>
                    <a:prstGeom prst="rect">
                      <a:avLst/>
                    </a:prstGeom>
                    <a:noFill/>
                    <a:ln>
                      <a:noFill/>
                    </a:ln>
                  </pic:spPr>
                </pic:pic>
              </a:graphicData>
            </a:graphic>
          </wp:inline>
        </w:drawing>
      </w: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inline distT="0" distB="0" distL="0" distR="0">
            <wp:extent cx="5687060" cy="336105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692004" cy="3364090"/>
                    </a:xfrm>
                    <a:prstGeom prst="rect">
                      <a:avLst/>
                    </a:prstGeom>
                    <a:noFill/>
                    <a:ln>
                      <a:noFill/>
                    </a:ln>
                  </pic:spPr>
                </pic:pic>
              </a:graphicData>
            </a:graphic>
          </wp:inline>
        </w:drawing>
      </w:r>
    </w:p>
    <w:sectPr>
      <w:pgSz w:w="11906" w:h="16838"/>
      <w:pgMar w:top="1928"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4B6A73"/>
    <w:rsid w:val="00056D20"/>
    <w:rsid w:val="00076F98"/>
    <w:rsid w:val="00080D2F"/>
    <w:rsid w:val="000F2658"/>
    <w:rsid w:val="001A6DF0"/>
    <w:rsid w:val="001D3152"/>
    <w:rsid w:val="001E0A38"/>
    <w:rsid w:val="00213C59"/>
    <w:rsid w:val="002976E0"/>
    <w:rsid w:val="002E7DE6"/>
    <w:rsid w:val="003177E2"/>
    <w:rsid w:val="003210CE"/>
    <w:rsid w:val="0033126C"/>
    <w:rsid w:val="0033258F"/>
    <w:rsid w:val="003724F8"/>
    <w:rsid w:val="0038208D"/>
    <w:rsid w:val="00402DF6"/>
    <w:rsid w:val="00433597"/>
    <w:rsid w:val="004B6A73"/>
    <w:rsid w:val="004F610E"/>
    <w:rsid w:val="005B580D"/>
    <w:rsid w:val="00603B9E"/>
    <w:rsid w:val="0067402A"/>
    <w:rsid w:val="006A723D"/>
    <w:rsid w:val="006A795F"/>
    <w:rsid w:val="00711B88"/>
    <w:rsid w:val="007A17A3"/>
    <w:rsid w:val="007A48D9"/>
    <w:rsid w:val="007A7732"/>
    <w:rsid w:val="00887B56"/>
    <w:rsid w:val="00940B4E"/>
    <w:rsid w:val="00990239"/>
    <w:rsid w:val="009F13DF"/>
    <w:rsid w:val="00A63C40"/>
    <w:rsid w:val="00A768FC"/>
    <w:rsid w:val="00A97C05"/>
    <w:rsid w:val="00AF7260"/>
    <w:rsid w:val="00B22DB8"/>
    <w:rsid w:val="00B2695C"/>
    <w:rsid w:val="00B70D59"/>
    <w:rsid w:val="00B733F9"/>
    <w:rsid w:val="00B85A31"/>
    <w:rsid w:val="00BE3839"/>
    <w:rsid w:val="00C0597F"/>
    <w:rsid w:val="00C47D58"/>
    <w:rsid w:val="00C83DC8"/>
    <w:rsid w:val="00D20FFF"/>
    <w:rsid w:val="00E326F1"/>
    <w:rsid w:val="00E46B91"/>
    <w:rsid w:val="00E65BFA"/>
    <w:rsid w:val="00E660B1"/>
    <w:rsid w:val="00F06057"/>
    <w:rsid w:val="00F52A8D"/>
    <w:rsid w:val="00F971F7"/>
    <w:rsid w:val="00FD289B"/>
    <w:rsid w:val="00FD600D"/>
    <w:rsid w:val="00FE5CF8"/>
    <w:rsid w:val="00FF3758"/>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177FCB"/>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2C77"/>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DB507B"/>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0498E-8369-46F7-8ED3-CE04521A1E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1602</Words>
  <Characters>9134</Characters>
  <Lines>76</Lines>
  <Paragraphs>21</Paragraphs>
  <TotalTime>2</TotalTime>
  <ScaleCrop>false</ScaleCrop>
  <LinksUpToDate>false</LinksUpToDate>
  <CharactersWithSpaces>10715</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2024-08-14T04:45:00Z</dcterms:created>
  <dc:creator>GXR</dc:creator>
  <cp:lastModifiedBy>Administrator</cp:lastModifiedBy>
  <dcterms:modified xsi:type="dcterms:W3CDTF">2024-11-18T11:44:51Z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