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中国国民党革命委员会库尔勒市委员会</w:t>
      </w:r>
    </w:p>
    <w:p>
      <w:pPr>
        <w:jc w:val="center"/>
        <w:rPr>
          <w:rFonts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方正小标宋_GBK" w:hAnsi="宋体" w:eastAsia="方正小标宋_GBK"/>
          <w:sz w:val="44"/>
          <w:szCs w:val="44"/>
        </w:rPr>
      </w:pPr>
      <w:r>
        <w:rPr>
          <w:rFonts w:hint="eastAsia" w:ascii="方正小标宋_GBK" w:hAnsi="宋体" w:eastAsia="方正小标宋_GBK"/>
          <w:sz w:val="44"/>
          <w:szCs w:val="44"/>
        </w:rPr>
        <w:br w:type="page"/>
      </w:r>
    </w:p>
    <w:p>
      <w:pP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 xml:space="preserve">第一部分 </w:t>
      </w:r>
      <w:r>
        <w:rPr>
          <w:rFonts w:hint="eastAsia" w:ascii="仿宋_GB2312" w:hAnsi="仿宋_GB2312" w:eastAsia="仿宋_GB2312" w:cs="仿宋_GB2312"/>
          <w:b/>
          <w:bCs/>
          <w:sz w:val="32"/>
          <w:szCs w:val="32"/>
          <w:lang w:val="en-US" w:eastAsia="zh-CN"/>
        </w:rPr>
        <w:t>部门</w:t>
      </w:r>
      <w:r>
        <w:rPr>
          <w:rFonts w:hint="eastAsia" w:ascii="仿宋_GB2312" w:hAnsi="仿宋_GB2312" w:eastAsia="仿宋_GB2312" w:cs="仿宋_GB2312"/>
          <w:b/>
          <w:bCs/>
          <w:sz w:val="32"/>
          <w:szCs w:val="32"/>
        </w:rPr>
        <w:t>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 xml:space="preserve">第一部分 </w:t>
      </w:r>
      <w:r>
        <w:rPr>
          <w:rFonts w:hint="eastAsia" w:ascii="黑体" w:hAnsi="黑体" w:eastAsia="黑体"/>
          <w:sz w:val="32"/>
          <w:szCs w:val="32"/>
          <w:lang w:val="en-US" w:eastAsia="zh-CN"/>
        </w:rPr>
        <w:t>部门</w:t>
      </w:r>
      <w:r>
        <w:rPr>
          <w:rFonts w:hint="eastAsia" w:ascii="黑体" w:hAnsi="黑体" w:eastAsia="黑体"/>
          <w:sz w:val="32"/>
          <w:szCs w:val="32"/>
        </w:rPr>
        <w:t>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snapToGrid w:val="0"/>
        <w:spacing w:line="520" w:lineRule="exact"/>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 xml:space="preserve">）围绕巴州党委、库尔勒市委，市人民政府的中心工作开展参政议政、民主监督工作； </w:t>
      </w:r>
    </w:p>
    <w:p>
      <w:pPr>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 xml:space="preserve">）开展形式多样的社会服务工作； </w:t>
      </w:r>
    </w:p>
    <w:p>
      <w:pPr>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 xml:space="preserve">）发挥民革特色，促进祖国统一； </w:t>
      </w:r>
    </w:p>
    <w:p>
      <w:pPr>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）加强组织建设工作等。</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hAnsi="仿宋_GB2312" w:eastAsia="仿宋_GB2312" w:cs="仿宋_GB2312"/>
          <w:b/>
          <w:sz w:val="32"/>
          <w:szCs w:val="32"/>
        </w:rPr>
      </w:pPr>
      <w:r>
        <w:rPr>
          <w:rFonts w:hint="eastAsia" w:ascii="仿宋_GB2312" w:eastAsia="仿宋_GB2312"/>
          <w:sz w:val="32"/>
          <w:szCs w:val="32"/>
        </w:rPr>
        <w:t>中国国民党革命委员会库尔勒市委员会2023年度，实有人数</w:t>
      </w:r>
      <w:r>
        <w:rPr>
          <w:rFonts w:hint="eastAsia" w:ascii="仿宋_GB2312" w:eastAsia="仿宋_GB2312"/>
          <w:sz w:val="32"/>
          <w:szCs w:val="32"/>
          <w:lang w:val="zh-CN"/>
        </w:rPr>
        <w:t>7</w:t>
      </w:r>
      <w:r>
        <w:rPr>
          <w:rFonts w:hint="eastAsia" w:ascii="仿宋_GB2312" w:eastAsia="仿宋_GB2312"/>
          <w:sz w:val="32"/>
          <w:szCs w:val="32"/>
        </w:rPr>
        <w:t>人，其中：在职人员</w:t>
      </w:r>
      <w:r>
        <w:rPr>
          <w:rFonts w:hint="eastAsia" w:ascii="仿宋_GB2312" w:eastAsia="仿宋_GB2312"/>
          <w:sz w:val="32"/>
          <w:szCs w:val="32"/>
          <w:lang w:val="zh-CN"/>
        </w:rPr>
        <w:t>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pPr>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单位无下属预算单位，下设1个处室，分别是：中国国民党革命委员会库尔勒市委员会办公室。</w:t>
      </w:r>
    </w:p>
    <w:p>
      <w:pPr>
        <w:ind w:firstLine="640" w:firstLineChars="200"/>
        <w:rPr>
          <w:rFonts w:ascii="仿宋_GB2312" w:hAnsi="宋体" w:eastAsia="仿宋_GB2312" w:cs="宋体"/>
          <w:kern w:val="0"/>
          <w:sz w:val="32"/>
          <w:szCs w:val="32"/>
        </w:rPr>
      </w:pP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2023年度收入总计54.60万元，其中：本年收入合计54.60万元，使用非财政拨款结余0.00万元，年初结转和结余0.00万元。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2023年度支出总计54.60万元，其中：本年支出合计54.60万元，结余分配0.00万元，年末结转和结余0.00万元。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增加3.63万元</w:t>
      </w:r>
      <w:r>
        <w:rPr>
          <w:rFonts w:hint="eastAsia" w:ascii="仿宋_GB2312" w:eastAsia="仿宋_GB2312"/>
          <w:sz w:val="32"/>
          <w:szCs w:val="32"/>
        </w:rPr>
        <w:t>，</w:t>
      </w:r>
      <w:r>
        <w:rPr>
          <w:rFonts w:hint="eastAsia" w:ascii="仿宋_GB2312" w:eastAsia="仿宋_GB2312"/>
          <w:sz w:val="32"/>
          <w:szCs w:val="32"/>
          <w:lang w:val="zh-CN"/>
        </w:rPr>
        <w:t>增长7.1</w:t>
      </w:r>
      <w:r>
        <w:rPr>
          <w:rFonts w:hint="eastAsia" w:ascii="仿宋_GB2312" w:eastAsia="仿宋_GB2312"/>
          <w:sz w:val="32"/>
          <w:szCs w:val="32"/>
        </w:rPr>
        <w:t>3%，主要原因是：2</w:t>
      </w:r>
      <w:r>
        <w:rPr>
          <w:rFonts w:ascii="仿宋_GB2312" w:eastAsia="仿宋_GB2312"/>
          <w:sz w:val="32"/>
          <w:szCs w:val="32"/>
        </w:rPr>
        <w:t>023</w:t>
      </w:r>
      <w:r>
        <w:rPr>
          <w:rFonts w:hint="eastAsia" w:ascii="仿宋_GB2312" w:eastAsia="仿宋_GB2312"/>
          <w:sz w:val="32"/>
          <w:szCs w:val="32"/>
        </w:rPr>
        <w:t>年度工资调整，工资基数及社保、公积金比上年度增加。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本年收入54.60万元，其中：财政拨款收入</w:t>
      </w:r>
      <w:r>
        <w:rPr>
          <w:rFonts w:hint="eastAsia" w:ascii="仿宋_GB2312" w:eastAsia="仿宋_GB2312"/>
          <w:sz w:val="32"/>
          <w:szCs w:val="32"/>
          <w:lang w:val="zh-CN"/>
        </w:rPr>
        <w:t>54.60</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eastAsia="仿宋_GB2312" w:cs="仿宋_GB2312"/>
          <w:sz w:val="30"/>
          <w:szCs w:val="30"/>
          <w:lang w:val="zh-CN"/>
        </w:rPr>
      </w:pPr>
      <w:r>
        <w:rPr>
          <w:rFonts w:hint="eastAsia" w:eastAsia="仿宋_GB2312" w:cs="仿宋_GB2312"/>
          <w:sz w:val="32"/>
          <w:szCs w:val="32"/>
          <w:lang w:val="zh-CN"/>
        </w:rPr>
        <w:t>本年支出54.60万元，其中：基本支出53.60万元，占98.17%；项目支出1.00万元，占1.83%；上缴上级支出0.00万元，占0.00%；经营支出0.00万元，占0.00%；对附属单位补助支出0.00万元，占0.00%。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54.60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54.60</w:t>
      </w:r>
      <w:r>
        <w:rPr>
          <w:rFonts w:hint="eastAsia" w:ascii="仿宋_GB2312" w:eastAsia="仿宋_GB2312"/>
          <w:sz w:val="32"/>
          <w:szCs w:val="32"/>
        </w:rPr>
        <w:t>万元。财政拨款支出总计</w:t>
      </w:r>
      <w:r>
        <w:rPr>
          <w:rFonts w:hint="eastAsia" w:ascii="仿宋_GB2312" w:eastAsia="仿宋_GB2312"/>
          <w:sz w:val="32"/>
          <w:szCs w:val="32"/>
          <w:lang w:val="zh-CN"/>
        </w:rPr>
        <w:t>54.60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54.60</w:t>
      </w:r>
      <w:r>
        <w:rPr>
          <w:rFonts w:hint="eastAsia" w:ascii="仿宋_GB2312" w:eastAsia="仿宋_GB2312"/>
          <w:sz w:val="32"/>
          <w:szCs w:val="32"/>
        </w:rPr>
        <w:t>万元。</w:t>
      </w:r>
    </w:p>
    <w:p>
      <w:pPr>
        <w:spacing w:line="560" w:lineRule="exact"/>
        <w:ind w:firstLine="640" w:firstLineChars="200"/>
        <w:rPr>
          <w:rFonts w:eastAsia="方正仿宋_GBK"/>
          <w:sz w:val="31"/>
          <w:szCs w:val="31"/>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增加3.64万元</w:t>
      </w:r>
      <w:r>
        <w:rPr>
          <w:rFonts w:hint="eastAsia" w:ascii="仿宋_GB2312" w:eastAsia="仿宋_GB2312"/>
          <w:sz w:val="32"/>
          <w:szCs w:val="32"/>
        </w:rPr>
        <w:t>，</w:t>
      </w:r>
      <w:r>
        <w:rPr>
          <w:rFonts w:hint="eastAsia" w:ascii="仿宋_GB2312" w:eastAsia="仿宋_GB2312"/>
          <w:sz w:val="32"/>
          <w:szCs w:val="32"/>
          <w:lang w:val="zh-CN"/>
        </w:rPr>
        <w:t>增长7.14%，</w:t>
      </w:r>
      <w:r>
        <w:rPr>
          <w:rFonts w:hint="eastAsia" w:ascii="仿宋_GB2312" w:eastAsia="仿宋_GB2312"/>
          <w:sz w:val="32"/>
          <w:szCs w:val="32"/>
        </w:rPr>
        <w:t>主要原因是：2</w:t>
      </w:r>
      <w:r>
        <w:rPr>
          <w:rFonts w:ascii="仿宋_GB2312" w:eastAsia="仿宋_GB2312"/>
          <w:sz w:val="32"/>
          <w:szCs w:val="32"/>
        </w:rPr>
        <w:t>023</w:t>
      </w:r>
      <w:r>
        <w:rPr>
          <w:rFonts w:hint="eastAsia" w:ascii="仿宋_GB2312" w:eastAsia="仿宋_GB2312"/>
          <w:sz w:val="32"/>
          <w:szCs w:val="32"/>
        </w:rPr>
        <w:t>年度工资调整，工资基数及社保、公积金比上年度增加。与年初预算相比，年初预算数</w:t>
      </w:r>
      <w:r>
        <w:rPr>
          <w:rFonts w:hint="eastAsia" w:ascii="仿宋_GB2312" w:eastAsia="仿宋_GB2312"/>
          <w:sz w:val="32"/>
          <w:szCs w:val="32"/>
          <w:lang w:val="zh-CN"/>
        </w:rPr>
        <w:t>57.90</w:t>
      </w:r>
      <w:r>
        <w:rPr>
          <w:rFonts w:hint="eastAsia" w:ascii="仿宋_GB2312" w:eastAsia="仿宋_GB2312"/>
          <w:sz w:val="32"/>
          <w:szCs w:val="32"/>
        </w:rPr>
        <w:t>万元，决算数</w:t>
      </w:r>
      <w:r>
        <w:rPr>
          <w:rFonts w:hint="eastAsia" w:ascii="仿宋_GB2312" w:eastAsia="仿宋_GB2312"/>
          <w:sz w:val="32"/>
          <w:szCs w:val="32"/>
          <w:lang w:val="zh-CN"/>
        </w:rPr>
        <w:t>54.60</w:t>
      </w:r>
      <w:r>
        <w:rPr>
          <w:rFonts w:hint="eastAsia" w:ascii="仿宋_GB2312" w:eastAsia="仿宋_GB2312"/>
          <w:sz w:val="32"/>
          <w:szCs w:val="32"/>
        </w:rPr>
        <w:t>万元，预决算差异率-5.69%，主要原因是： 2</w:t>
      </w:r>
      <w:r>
        <w:rPr>
          <w:rFonts w:ascii="仿宋_GB2312" w:eastAsia="仿宋_GB2312"/>
          <w:sz w:val="32"/>
          <w:szCs w:val="32"/>
        </w:rPr>
        <w:t>023</w:t>
      </w:r>
      <w:r>
        <w:rPr>
          <w:rFonts w:hint="eastAsia" w:ascii="仿宋_GB2312" w:eastAsia="仿宋_GB2312"/>
          <w:sz w:val="32"/>
          <w:szCs w:val="32"/>
        </w:rPr>
        <w:t>年初预算数在年中调整为</w:t>
      </w:r>
      <w:r>
        <w:rPr>
          <w:rFonts w:ascii="仿宋_GB2312" w:eastAsia="仿宋_GB2312"/>
          <w:sz w:val="32"/>
          <w:szCs w:val="32"/>
        </w:rPr>
        <w:t>54.60</w:t>
      </w:r>
      <w:r>
        <w:rPr>
          <w:rFonts w:hint="eastAsia" w:ascii="仿宋_GB2312" w:eastAsia="仿宋_GB2312"/>
          <w:sz w:val="32"/>
          <w:szCs w:val="32"/>
        </w:rPr>
        <w:t>万元，</w:t>
      </w:r>
      <w:r>
        <w:rPr>
          <w:rFonts w:hint="eastAsia" w:ascii="仿宋_GB2312" w:eastAsia="仿宋_GB2312"/>
          <w:sz w:val="32"/>
          <w:szCs w:val="32"/>
          <w:lang w:val="en-US" w:eastAsia="zh-CN"/>
        </w:rPr>
        <w:t>财政按需拨付资金，决算数较预算数减少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2023年度一般公共预算财政拨款支出54.60万元，占本年支出合计的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增加3.64万元</w:t>
      </w:r>
      <w:r>
        <w:rPr>
          <w:rFonts w:hint="eastAsia" w:ascii="仿宋_GB2312" w:eastAsia="仿宋_GB2312"/>
          <w:sz w:val="32"/>
          <w:szCs w:val="32"/>
        </w:rPr>
        <w:t>，</w:t>
      </w:r>
      <w:r>
        <w:rPr>
          <w:rFonts w:hint="eastAsia" w:ascii="仿宋_GB2312" w:eastAsia="仿宋_GB2312"/>
          <w:sz w:val="32"/>
          <w:szCs w:val="32"/>
          <w:lang w:val="zh-CN"/>
        </w:rPr>
        <w:t>增长7.14%，</w:t>
      </w:r>
      <w:r>
        <w:rPr>
          <w:rFonts w:hint="eastAsia" w:ascii="仿宋_GB2312" w:eastAsia="仿宋_GB2312"/>
          <w:sz w:val="32"/>
          <w:szCs w:val="32"/>
        </w:rPr>
        <w:t>主要原因是：本年度工资调整，工资基数及社保、公积金比上年度增加。与年初预算相比，年初预算数</w:t>
      </w:r>
      <w:r>
        <w:rPr>
          <w:rFonts w:hint="eastAsia" w:ascii="仿宋_GB2312" w:eastAsia="仿宋_GB2312"/>
          <w:sz w:val="32"/>
          <w:szCs w:val="32"/>
          <w:lang w:val="zh-CN"/>
        </w:rPr>
        <w:t>57.90</w:t>
      </w:r>
      <w:r>
        <w:rPr>
          <w:rFonts w:hint="eastAsia" w:ascii="仿宋_GB2312" w:eastAsia="仿宋_GB2312"/>
          <w:sz w:val="32"/>
          <w:szCs w:val="32"/>
        </w:rPr>
        <w:t>万元，决算数</w:t>
      </w:r>
      <w:r>
        <w:rPr>
          <w:rFonts w:hint="eastAsia" w:ascii="仿宋_GB2312" w:eastAsia="仿宋_GB2312"/>
          <w:sz w:val="32"/>
          <w:szCs w:val="32"/>
          <w:lang w:val="zh-CN"/>
        </w:rPr>
        <w:t>54.60</w:t>
      </w:r>
      <w:r>
        <w:rPr>
          <w:rFonts w:hint="eastAsia" w:ascii="仿宋_GB2312" w:eastAsia="仿宋_GB2312"/>
          <w:sz w:val="32"/>
          <w:szCs w:val="32"/>
        </w:rPr>
        <w:t>万元，预决算差异率</w:t>
      </w:r>
      <w:r>
        <w:rPr>
          <w:rFonts w:hint="eastAsia" w:ascii="仿宋_GB2312" w:eastAsia="仿宋_GB2312"/>
          <w:sz w:val="32"/>
          <w:szCs w:val="32"/>
          <w:lang w:val="zh-CN"/>
        </w:rPr>
        <w:t>-5.69%</w:t>
      </w:r>
      <w:r>
        <w:rPr>
          <w:rFonts w:hint="eastAsia" w:ascii="仿宋_GB2312" w:eastAsia="仿宋_GB2312"/>
          <w:sz w:val="32"/>
          <w:szCs w:val="32"/>
        </w:rPr>
        <w:t>，主要原因是： 2</w:t>
      </w:r>
      <w:r>
        <w:rPr>
          <w:rFonts w:ascii="仿宋_GB2312" w:eastAsia="仿宋_GB2312"/>
          <w:sz w:val="32"/>
          <w:szCs w:val="32"/>
        </w:rPr>
        <w:t>023</w:t>
      </w:r>
      <w:r>
        <w:rPr>
          <w:rFonts w:hint="eastAsia" w:ascii="仿宋_GB2312" w:eastAsia="仿宋_GB2312"/>
          <w:sz w:val="32"/>
          <w:szCs w:val="32"/>
        </w:rPr>
        <w:t>年初预算数在年中调整为</w:t>
      </w:r>
      <w:r>
        <w:rPr>
          <w:rFonts w:ascii="仿宋_GB2312" w:eastAsia="仿宋_GB2312"/>
          <w:sz w:val="32"/>
          <w:szCs w:val="32"/>
        </w:rPr>
        <w:t>54.60</w:t>
      </w:r>
      <w:r>
        <w:rPr>
          <w:rFonts w:hint="eastAsia" w:ascii="仿宋_GB2312" w:eastAsia="仿宋_GB2312"/>
          <w:sz w:val="32"/>
          <w:szCs w:val="32"/>
        </w:rPr>
        <w:t>万元，</w:t>
      </w:r>
      <w:r>
        <w:rPr>
          <w:rFonts w:hint="eastAsia" w:ascii="仿宋_GB2312" w:eastAsia="仿宋_GB2312"/>
          <w:sz w:val="32"/>
          <w:szCs w:val="32"/>
          <w:lang w:val="en-US" w:eastAsia="zh-CN"/>
        </w:rPr>
        <w:t>财政按需拨付资金，决算数较预算数减少</w:t>
      </w:r>
      <w:r>
        <w:rPr>
          <w:rFonts w:hint="eastAsia" w:ascii="仿宋_GB2312" w:eastAsia="仿宋_GB2312"/>
          <w:sz w:val="32"/>
          <w:szCs w:val="32"/>
        </w:rPr>
        <w:t>。</w:t>
      </w:r>
    </w:p>
    <w:p>
      <w:pPr>
        <w:numPr>
          <w:ilvl w:val="0"/>
          <w:numId w:val="1"/>
        </w:numPr>
        <w:ind w:firstLine="640" w:firstLineChars="200"/>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40.95</w:t>
      </w:r>
      <w:r>
        <w:rPr>
          <w:rFonts w:ascii="仿宋_GB2312" w:eastAsia="仿宋_GB2312"/>
          <w:kern w:val="2"/>
          <w:sz w:val="32"/>
          <w:szCs w:val="32"/>
          <w:lang w:val="zh-CN"/>
        </w:rPr>
        <w:t>万元，占</w:t>
      </w:r>
      <w:r>
        <w:rPr>
          <w:rFonts w:hint="eastAsia" w:ascii="仿宋_GB2312" w:eastAsia="仿宋_GB2312"/>
          <w:kern w:val="2"/>
          <w:sz w:val="32"/>
          <w:szCs w:val="32"/>
          <w:lang w:val="zh-CN"/>
        </w:rPr>
        <w:t>75.01</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rPr>
        <w:t>2.</w:t>
      </w:r>
      <w:r>
        <w:rPr>
          <w:rFonts w:ascii="仿宋_GB2312" w:eastAsia="仿宋_GB2312"/>
          <w:kern w:val="2"/>
          <w:sz w:val="32"/>
          <w:szCs w:val="32"/>
          <w:lang w:val="zh-CN"/>
        </w:rPr>
        <w:t>教育支出（类）</w:t>
      </w:r>
      <w:r>
        <w:rPr>
          <w:rFonts w:hint="eastAsia" w:ascii="仿宋_GB2312" w:eastAsia="仿宋_GB2312"/>
          <w:kern w:val="2"/>
          <w:sz w:val="32"/>
          <w:szCs w:val="32"/>
          <w:lang w:val="zh-CN"/>
        </w:rPr>
        <w:t>0.06</w:t>
      </w:r>
      <w:r>
        <w:rPr>
          <w:rFonts w:ascii="仿宋_GB2312" w:eastAsia="仿宋_GB2312"/>
          <w:kern w:val="2"/>
          <w:sz w:val="32"/>
          <w:szCs w:val="32"/>
          <w:lang w:val="zh-CN"/>
        </w:rPr>
        <w:t>万元，占</w:t>
      </w:r>
      <w:r>
        <w:rPr>
          <w:rFonts w:hint="eastAsia" w:ascii="仿宋_GB2312" w:eastAsia="仿宋_GB2312"/>
          <w:kern w:val="2"/>
          <w:sz w:val="32"/>
          <w:szCs w:val="32"/>
          <w:lang w:val="zh-CN"/>
        </w:rPr>
        <w:t>0.11</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3.社会保障和就业支出（类）</w:t>
      </w:r>
      <w:r>
        <w:rPr>
          <w:rFonts w:hint="eastAsia" w:ascii="仿宋_GB2312" w:eastAsia="仿宋_GB2312"/>
          <w:kern w:val="2"/>
          <w:sz w:val="32"/>
          <w:szCs w:val="32"/>
          <w:lang w:val="zh-CN"/>
        </w:rPr>
        <w:t>6.53</w:t>
      </w:r>
      <w:r>
        <w:rPr>
          <w:rFonts w:ascii="仿宋_GB2312" w:eastAsia="仿宋_GB2312"/>
          <w:kern w:val="2"/>
          <w:sz w:val="32"/>
          <w:szCs w:val="32"/>
          <w:lang w:val="zh-CN"/>
        </w:rPr>
        <w:t>万元，占</w:t>
      </w:r>
      <w:r>
        <w:rPr>
          <w:rFonts w:hint="eastAsia" w:ascii="仿宋_GB2312" w:eastAsia="仿宋_GB2312"/>
          <w:kern w:val="2"/>
          <w:sz w:val="32"/>
          <w:szCs w:val="32"/>
          <w:lang w:val="zh-CN"/>
        </w:rPr>
        <w:t>11.95</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4.卫生健康支出（类）</w:t>
      </w:r>
      <w:r>
        <w:rPr>
          <w:rFonts w:hint="eastAsia" w:ascii="仿宋_GB2312" w:eastAsia="仿宋_GB2312"/>
          <w:kern w:val="2"/>
          <w:sz w:val="32"/>
          <w:szCs w:val="32"/>
          <w:lang w:val="zh-CN"/>
        </w:rPr>
        <w:t>3.32</w:t>
      </w:r>
      <w:r>
        <w:rPr>
          <w:rFonts w:ascii="仿宋_GB2312" w:eastAsia="仿宋_GB2312"/>
          <w:kern w:val="2"/>
          <w:sz w:val="32"/>
          <w:szCs w:val="32"/>
          <w:lang w:val="zh-CN"/>
        </w:rPr>
        <w:t>万元，占</w:t>
      </w:r>
      <w:r>
        <w:rPr>
          <w:rFonts w:hint="eastAsia" w:ascii="仿宋_GB2312" w:eastAsia="仿宋_GB2312"/>
          <w:kern w:val="2"/>
          <w:sz w:val="32"/>
          <w:szCs w:val="32"/>
          <w:lang w:val="zh-CN"/>
        </w:rPr>
        <w:t>6.07</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5.住房保障支出（类）</w:t>
      </w:r>
      <w:r>
        <w:rPr>
          <w:rFonts w:hint="eastAsia" w:ascii="仿宋_GB2312" w:eastAsia="仿宋_GB2312"/>
          <w:kern w:val="2"/>
          <w:sz w:val="32"/>
          <w:szCs w:val="32"/>
          <w:lang w:val="zh-CN"/>
        </w:rPr>
        <w:t>3.75</w:t>
      </w:r>
      <w:r>
        <w:rPr>
          <w:rFonts w:ascii="仿宋_GB2312" w:eastAsia="仿宋_GB2312"/>
          <w:kern w:val="2"/>
          <w:sz w:val="32"/>
          <w:szCs w:val="32"/>
          <w:lang w:val="zh-CN"/>
        </w:rPr>
        <w:t>万元，占</w:t>
      </w:r>
      <w:r>
        <w:rPr>
          <w:rFonts w:hint="eastAsia" w:ascii="仿宋_GB2312" w:eastAsia="仿宋_GB2312"/>
          <w:kern w:val="2"/>
          <w:sz w:val="32"/>
          <w:szCs w:val="32"/>
          <w:lang w:val="zh-CN"/>
        </w:rPr>
        <w:t>6.86</w:t>
      </w:r>
      <w:r>
        <w:rPr>
          <w:rFonts w:ascii="仿宋_GB2312" w:eastAsia="仿宋_GB2312"/>
          <w:kern w:val="2"/>
          <w:sz w:val="32"/>
          <w:szCs w:val="32"/>
          <w:lang w:val="zh-CN"/>
        </w:rPr>
        <w:t>%；</w:t>
      </w:r>
    </w:p>
    <w:p>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1.一般公共服务支出（类）民主党派及工商联事务（款）行政运行（项）:支出决算数为39.95万元，比上年决算增加3.61万元，增长9.9</w:t>
      </w:r>
      <w:r>
        <w:rPr>
          <w:rFonts w:hint="eastAsia" w:eastAsia="仿宋_GB2312"/>
          <w:sz w:val="32"/>
          <w:szCs w:val="32"/>
          <w:lang w:val="en-US" w:eastAsia="zh-CN"/>
        </w:rPr>
        <w:t>3</w:t>
      </w:r>
      <w:r>
        <w:rPr>
          <w:rFonts w:hint="eastAsia" w:eastAsia="仿宋_GB2312"/>
          <w:sz w:val="32"/>
          <w:szCs w:val="32"/>
        </w:rPr>
        <w:t>%，主要原因是：2</w:t>
      </w:r>
      <w:r>
        <w:rPr>
          <w:rFonts w:eastAsia="仿宋_GB2312"/>
          <w:sz w:val="32"/>
          <w:szCs w:val="32"/>
        </w:rPr>
        <w:t>023</w:t>
      </w:r>
      <w:r>
        <w:rPr>
          <w:rFonts w:hint="eastAsia" w:eastAsia="仿宋_GB2312"/>
          <w:sz w:val="32"/>
          <w:szCs w:val="32"/>
        </w:rPr>
        <w:t>年度工资增加，社保基数及公积金基数调整</w:t>
      </w:r>
      <w:r>
        <w:rPr>
          <w:rFonts w:hint="eastAsia" w:eastAsia="仿宋_GB2312"/>
          <w:sz w:val="32"/>
          <w:szCs w:val="32"/>
          <w:lang w:val="zh-CN"/>
        </w:rPr>
        <w:t>。</w:t>
      </w:r>
    </w:p>
    <w:p>
      <w:pPr>
        <w:ind w:firstLine="640" w:firstLineChars="200"/>
        <w:rPr>
          <w:rFonts w:eastAsia="仿宋_GB2312"/>
          <w:sz w:val="32"/>
          <w:szCs w:val="32"/>
          <w:lang w:val="zh-CN"/>
        </w:rPr>
      </w:pPr>
      <w:r>
        <w:rPr>
          <w:rFonts w:eastAsia="仿宋_GB2312"/>
          <w:sz w:val="32"/>
          <w:szCs w:val="32"/>
        </w:rPr>
        <w:t>2</w:t>
      </w:r>
      <w:r>
        <w:rPr>
          <w:rFonts w:hint="eastAsia" w:eastAsia="仿宋_GB2312"/>
          <w:sz w:val="32"/>
          <w:szCs w:val="32"/>
        </w:rPr>
        <w:t>.一般公共服务支出（类）民主党派及工商联事务（款）其他民主党派及工商联事务支出（项）:支出决算数为1.00万元，比上年决算增加0.62万元，增长</w:t>
      </w:r>
      <w:r>
        <w:rPr>
          <w:rFonts w:hint="eastAsia" w:eastAsia="仿宋_GB2312"/>
          <w:sz w:val="32"/>
          <w:szCs w:val="32"/>
          <w:lang w:val="en-US" w:eastAsia="zh-CN"/>
        </w:rPr>
        <w:t>163.16</w:t>
      </w:r>
      <w:r>
        <w:rPr>
          <w:rFonts w:hint="eastAsia" w:eastAsia="仿宋_GB2312"/>
          <w:sz w:val="32"/>
          <w:szCs w:val="32"/>
        </w:rPr>
        <w:t>%，主要原因是：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年度大力开展业务工作，部门专项经费增加。</w:t>
      </w:r>
    </w:p>
    <w:p>
      <w:pPr>
        <w:snapToGrid w:val="0"/>
        <w:spacing w:line="520" w:lineRule="exact"/>
        <w:ind w:firstLine="640" w:firstLineChars="200"/>
        <w:rPr>
          <w:rFonts w:ascii="仿宋_GB2312" w:hAnsi="仿宋" w:eastAsia="仿宋_GB2312"/>
          <w:sz w:val="32"/>
          <w:szCs w:val="32"/>
        </w:rPr>
      </w:pPr>
      <w:r>
        <w:rPr>
          <w:rFonts w:eastAsia="仿宋_GB2312"/>
          <w:sz w:val="32"/>
          <w:szCs w:val="32"/>
        </w:rPr>
        <w:t>3</w:t>
      </w:r>
      <w:r>
        <w:rPr>
          <w:rFonts w:hint="eastAsia" w:eastAsia="仿宋_GB2312"/>
          <w:sz w:val="32"/>
          <w:szCs w:val="32"/>
        </w:rPr>
        <w:t>.教育支出（类）进修及培训（款）培训支出（项）:支出决算数为0.06万元，比上年决算减少0.16万元，下降7</w:t>
      </w:r>
      <w:r>
        <w:rPr>
          <w:rFonts w:hint="eastAsia" w:eastAsia="仿宋_GB2312"/>
          <w:sz w:val="32"/>
          <w:szCs w:val="32"/>
          <w:lang w:val="en-US" w:eastAsia="zh-CN"/>
        </w:rPr>
        <w:t>2</w:t>
      </w:r>
      <w:r>
        <w:rPr>
          <w:rFonts w:hint="eastAsia" w:eastAsia="仿宋_GB2312"/>
          <w:sz w:val="32"/>
          <w:szCs w:val="32"/>
        </w:rPr>
        <w:t>.</w:t>
      </w:r>
      <w:r>
        <w:rPr>
          <w:rFonts w:hint="eastAsia" w:eastAsia="仿宋_GB2312"/>
          <w:sz w:val="32"/>
          <w:szCs w:val="32"/>
          <w:lang w:val="en-US" w:eastAsia="zh-CN"/>
        </w:rPr>
        <w:t>7</w:t>
      </w:r>
      <w:r>
        <w:rPr>
          <w:rFonts w:hint="eastAsia" w:eastAsia="仿宋_GB2312"/>
          <w:sz w:val="32"/>
          <w:szCs w:val="32"/>
        </w:rPr>
        <w:t>3%，主要原因是：单位</w:t>
      </w:r>
      <w:r>
        <w:rPr>
          <w:rFonts w:hint="eastAsia" w:ascii="仿宋_GB2312" w:hAnsi="仿宋" w:eastAsia="仿宋_GB2312"/>
          <w:sz w:val="32"/>
          <w:szCs w:val="32"/>
        </w:rPr>
        <w:t>厉行节约，职工培训活动支出减少。</w:t>
      </w:r>
    </w:p>
    <w:p>
      <w:pPr>
        <w:snapToGrid w:val="0"/>
        <w:spacing w:line="520" w:lineRule="exact"/>
        <w:ind w:firstLine="640" w:firstLineChars="200"/>
        <w:rPr>
          <w:rFonts w:hint="default" w:ascii="仿宋_GB2312" w:hAnsi="仿宋" w:eastAsia="仿宋_GB2312"/>
          <w:sz w:val="32"/>
          <w:szCs w:val="32"/>
          <w:lang w:val="en-US" w:eastAsia="zh-CN"/>
        </w:rPr>
      </w:pPr>
      <w:r>
        <w:rPr>
          <w:rFonts w:eastAsia="仿宋_GB2312"/>
          <w:sz w:val="32"/>
          <w:szCs w:val="32"/>
        </w:rPr>
        <w:t>4</w:t>
      </w:r>
      <w:r>
        <w:rPr>
          <w:rFonts w:hint="eastAsia" w:eastAsia="仿宋_GB2312"/>
          <w:sz w:val="32"/>
          <w:szCs w:val="32"/>
        </w:rPr>
        <w:t>.社会保障和就业支出（类）行政事业单位养老支出（款）行政单位离退休（项）:支出决算数为1.86万元，比上年决算增加0.89万元，增长91.</w:t>
      </w:r>
      <w:r>
        <w:rPr>
          <w:rFonts w:hint="eastAsia" w:eastAsia="仿宋_GB2312"/>
          <w:sz w:val="32"/>
          <w:szCs w:val="32"/>
          <w:lang w:val="en-US" w:eastAsia="zh-CN"/>
        </w:rPr>
        <w:t>75</w:t>
      </w:r>
      <w:r>
        <w:rPr>
          <w:rFonts w:hint="eastAsia" w:eastAsia="仿宋_GB2312"/>
          <w:sz w:val="32"/>
          <w:szCs w:val="32"/>
        </w:rPr>
        <w:t>%，主要原因是：2</w:t>
      </w:r>
      <w:r>
        <w:rPr>
          <w:rFonts w:eastAsia="仿宋_GB2312"/>
          <w:sz w:val="32"/>
          <w:szCs w:val="32"/>
        </w:rPr>
        <w:t>023</w:t>
      </w:r>
      <w:r>
        <w:rPr>
          <w:rFonts w:hint="eastAsia" w:eastAsia="仿宋_GB2312"/>
          <w:sz w:val="32"/>
          <w:szCs w:val="32"/>
        </w:rPr>
        <w:t>年度人员工资</w:t>
      </w:r>
      <w:r>
        <w:rPr>
          <w:rFonts w:hint="eastAsia" w:eastAsia="仿宋_GB2312"/>
          <w:sz w:val="32"/>
          <w:szCs w:val="32"/>
          <w:lang w:val="en-US" w:eastAsia="zh-CN"/>
        </w:rPr>
        <w:t>基数调整</w:t>
      </w:r>
      <w:r>
        <w:rPr>
          <w:rFonts w:hint="eastAsia" w:eastAsia="仿宋_GB2312"/>
          <w:sz w:val="32"/>
          <w:szCs w:val="32"/>
        </w:rPr>
        <w:t>，</w:t>
      </w:r>
      <w:r>
        <w:rPr>
          <w:rFonts w:hint="eastAsia" w:eastAsia="仿宋_GB2312"/>
          <w:sz w:val="32"/>
          <w:szCs w:val="32"/>
          <w:lang w:val="en-US" w:eastAsia="zh-CN"/>
        </w:rPr>
        <w:t>导致该项支出增加。</w:t>
      </w:r>
    </w:p>
    <w:p>
      <w:pPr>
        <w:snapToGrid w:val="0"/>
        <w:spacing w:line="520" w:lineRule="exact"/>
        <w:ind w:firstLine="640" w:firstLineChars="200"/>
        <w:rPr>
          <w:rFonts w:ascii="仿宋_GB2312" w:hAnsi="仿宋" w:eastAsia="仿宋_GB2312"/>
          <w:sz w:val="32"/>
          <w:szCs w:val="32"/>
        </w:rPr>
      </w:pPr>
      <w:r>
        <w:rPr>
          <w:rFonts w:eastAsia="仿宋_GB2312"/>
          <w:sz w:val="32"/>
          <w:szCs w:val="32"/>
        </w:rPr>
        <w:t>5</w:t>
      </w:r>
      <w:r>
        <w:rPr>
          <w:rFonts w:hint="eastAsia" w:eastAsia="仿宋_GB2312"/>
          <w:sz w:val="32"/>
          <w:szCs w:val="32"/>
        </w:rPr>
        <w:t>.社会保障和就业支出（类）行政事业单位养老支出（款）机关事业单位基本养老保险缴费支出（项）:支出决算数为4.67万元，比上年决算增加0.19万元，增长4.</w:t>
      </w:r>
      <w:r>
        <w:rPr>
          <w:rFonts w:hint="eastAsia" w:eastAsia="仿宋_GB2312"/>
          <w:sz w:val="32"/>
          <w:szCs w:val="32"/>
          <w:lang w:val="en-US" w:eastAsia="zh-CN"/>
        </w:rPr>
        <w:t>24</w:t>
      </w:r>
      <w:r>
        <w:rPr>
          <w:rFonts w:hint="eastAsia" w:eastAsia="仿宋_GB2312"/>
          <w:sz w:val="32"/>
          <w:szCs w:val="32"/>
        </w:rPr>
        <w:t>%，主要原因是：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w:t>
      </w:r>
      <w:r>
        <w:rPr>
          <w:rFonts w:hint="eastAsia" w:ascii="仿宋_GB2312" w:hAnsi="仿宋" w:eastAsia="仿宋_GB2312"/>
          <w:sz w:val="32"/>
          <w:szCs w:val="32"/>
        </w:rPr>
        <w:t>人员工资提高，社会保险费基数增加</w:t>
      </w:r>
      <w:r>
        <w:rPr>
          <w:rFonts w:hint="eastAsia" w:eastAsia="仿宋_GB2312"/>
          <w:sz w:val="32"/>
          <w:szCs w:val="32"/>
          <w:lang w:val="zh-CN"/>
        </w:rPr>
        <w:t>。</w:t>
      </w:r>
    </w:p>
    <w:p>
      <w:pPr>
        <w:ind w:firstLine="640" w:firstLineChars="200"/>
        <w:rPr>
          <w:rFonts w:ascii="仿宋_GB2312" w:eastAsia="仿宋_GB2312"/>
          <w:sz w:val="32"/>
          <w:szCs w:val="32"/>
        </w:rPr>
      </w:pPr>
      <w:r>
        <w:rPr>
          <w:rFonts w:eastAsia="仿宋_GB2312"/>
          <w:sz w:val="32"/>
          <w:szCs w:val="32"/>
        </w:rPr>
        <w:t>6</w:t>
      </w:r>
      <w:r>
        <w:rPr>
          <w:rFonts w:hint="eastAsia" w:eastAsia="仿宋_GB2312"/>
          <w:sz w:val="32"/>
          <w:szCs w:val="32"/>
        </w:rPr>
        <w:t>.卫生健康支出（类）行政事业单位医疗（款）行政单位医疗（项）:支出决算数为2.44万元，比上年决算减少1.08万元，下降30.</w:t>
      </w:r>
      <w:r>
        <w:rPr>
          <w:rFonts w:hint="eastAsia" w:eastAsia="仿宋_GB2312"/>
          <w:sz w:val="32"/>
          <w:szCs w:val="32"/>
          <w:lang w:val="en-US" w:eastAsia="zh-CN"/>
        </w:rPr>
        <w:t>68</w:t>
      </w:r>
      <w:r>
        <w:rPr>
          <w:rFonts w:hint="eastAsia" w:eastAsia="仿宋_GB2312"/>
          <w:sz w:val="32"/>
          <w:szCs w:val="32"/>
        </w:rPr>
        <w:t>%，主要原因是：</w:t>
      </w:r>
      <w:r>
        <w:rPr>
          <w:rFonts w:hint="eastAsia" w:ascii="仿宋_GB2312" w:eastAsia="仿宋_GB2312"/>
          <w:sz w:val="32"/>
          <w:szCs w:val="32"/>
        </w:rPr>
        <w:t>2</w:t>
      </w:r>
      <w:r>
        <w:rPr>
          <w:rFonts w:ascii="仿宋_GB2312" w:eastAsia="仿宋_GB2312"/>
          <w:sz w:val="32"/>
          <w:szCs w:val="32"/>
        </w:rPr>
        <w:t>023</w:t>
      </w:r>
      <w:r>
        <w:rPr>
          <w:rFonts w:hint="eastAsia" w:ascii="仿宋_GB2312" w:eastAsia="仿宋_GB2312"/>
          <w:sz w:val="32"/>
          <w:szCs w:val="32"/>
        </w:rPr>
        <w:t>年度退休人员不交医疗保险，减少单位医疗保险部分。</w:t>
      </w:r>
    </w:p>
    <w:p>
      <w:pPr>
        <w:ind w:firstLine="640" w:firstLineChars="200"/>
        <w:rPr>
          <w:rFonts w:eastAsia="仿宋_GB2312"/>
          <w:sz w:val="32"/>
          <w:szCs w:val="32"/>
        </w:rPr>
      </w:pPr>
      <w:r>
        <w:rPr>
          <w:rFonts w:eastAsia="仿宋_GB2312"/>
          <w:sz w:val="32"/>
          <w:szCs w:val="32"/>
        </w:rPr>
        <w:t>7</w:t>
      </w:r>
      <w:r>
        <w:rPr>
          <w:rFonts w:hint="eastAsia" w:eastAsia="仿宋_GB2312"/>
          <w:sz w:val="32"/>
          <w:szCs w:val="32"/>
        </w:rPr>
        <w:t>.卫生健康支出（类）行政事业单位医疗（款）公务员医疗补助（项）:支出决算数为0.88万元，比上年决算减少0.74万元，下降45.</w:t>
      </w:r>
      <w:r>
        <w:rPr>
          <w:rFonts w:hint="eastAsia" w:eastAsia="仿宋_GB2312"/>
          <w:sz w:val="32"/>
          <w:szCs w:val="32"/>
          <w:lang w:val="en-US" w:eastAsia="zh-CN"/>
        </w:rPr>
        <w:t>68</w:t>
      </w:r>
      <w:r>
        <w:rPr>
          <w:rFonts w:hint="eastAsia" w:eastAsia="仿宋_GB2312"/>
          <w:sz w:val="32"/>
          <w:szCs w:val="32"/>
        </w:rPr>
        <w:t>%，主要原因是：上年度行政退休人员医疗费列入本科目，本年度调整到退休人员医疗补助，因此有减少。</w:t>
      </w:r>
    </w:p>
    <w:p>
      <w:pPr>
        <w:ind w:firstLine="640" w:firstLineChars="200"/>
        <w:rPr>
          <w:rFonts w:eastAsia="仿宋_GB2312"/>
          <w:sz w:val="32"/>
          <w:szCs w:val="32"/>
          <w:lang w:val="zh-CN"/>
        </w:rPr>
      </w:pPr>
      <w:r>
        <w:rPr>
          <w:rFonts w:eastAsia="仿宋_GB2312"/>
          <w:sz w:val="32"/>
          <w:szCs w:val="32"/>
        </w:rPr>
        <w:t>8</w:t>
      </w:r>
      <w:r>
        <w:rPr>
          <w:rFonts w:hint="eastAsia" w:eastAsia="仿宋_GB2312"/>
          <w:sz w:val="32"/>
          <w:szCs w:val="32"/>
        </w:rPr>
        <w:t>.住房保障支出（类）住房改革支出（款）住房公积金（项）:支出决算数为3.75万元，比上年决算增加0.31万元，增长</w:t>
      </w:r>
      <w:r>
        <w:rPr>
          <w:rFonts w:hint="eastAsia" w:eastAsia="仿宋_GB2312"/>
          <w:sz w:val="32"/>
          <w:szCs w:val="32"/>
          <w:lang w:val="en-US" w:eastAsia="zh-CN"/>
        </w:rPr>
        <w:t>9.01</w:t>
      </w:r>
      <w:r>
        <w:rPr>
          <w:rFonts w:hint="eastAsia" w:eastAsia="仿宋_GB2312"/>
          <w:sz w:val="32"/>
          <w:szCs w:val="32"/>
        </w:rPr>
        <w:t>%，主要原因是：2</w:t>
      </w:r>
      <w:r>
        <w:rPr>
          <w:rFonts w:eastAsia="仿宋_GB2312"/>
          <w:sz w:val="32"/>
          <w:szCs w:val="32"/>
        </w:rPr>
        <w:t>023</w:t>
      </w:r>
      <w:r>
        <w:rPr>
          <w:rFonts w:hint="eastAsia" w:eastAsia="仿宋_GB2312"/>
          <w:sz w:val="32"/>
          <w:szCs w:val="32"/>
        </w:rPr>
        <w:t>年度单位人员工资提高，公积金缴费基数提高</w:t>
      </w:r>
      <w:r>
        <w:rPr>
          <w:rFonts w:hint="eastAsia" w:eastAsia="仿宋_GB2312"/>
          <w:sz w:val="32"/>
          <w:szCs w:val="32"/>
          <w:lang w:val="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53.60万元，其中：人员经费50.76万元，包括：基本工资、津贴补贴、奖金、机关事业单位基本养老保险缴费、职工基本医疗保险缴费、公务员医疗补助缴费、其他社会保障缴费、住房公积金、医疗费、退休费、医疗费补助。</w:t>
      </w:r>
    </w:p>
    <w:p>
      <w:pPr>
        <w:ind w:firstLine="640" w:firstLineChars="200"/>
        <w:rPr>
          <w:rFonts w:ascii="仿宋_GB2312" w:eastAsia="仿宋_GB2312"/>
          <w:sz w:val="32"/>
          <w:szCs w:val="32"/>
          <w:highlight w:val="red"/>
        </w:rPr>
      </w:pPr>
      <w:r>
        <w:rPr>
          <w:rFonts w:hint="eastAsia" w:ascii="仿宋_GB2312" w:eastAsia="仿宋_GB2312"/>
          <w:sz w:val="32"/>
          <w:szCs w:val="32"/>
        </w:rPr>
        <w:t>公用经费2.84万元，包括：办公费、邮电费、培训费、工会经费、公务用车运行维护费。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“三公”经费支出0.27万元，</w:t>
      </w:r>
      <w:r>
        <w:rPr>
          <w:rFonts w:hint="eastAsia" w:ascii="仿宋_GB2312" w:eastAsia="仿宋_GB2312"/>
          <w:sz w:val="32"/>
          <w:szCs w:val="32"/>
        </w:rPr>
        <w:t>比上年</w:t>
      </w:r>
      <w:r>
        <w:rPr>
          <w:rFonts w:hint="eastAsia" w:ascii="仿宋_GB2312" w:eastAsia="仿宋_GB2312"/>
          <w:sz w:val="32"/>
          <w:szCs w:val="32"/>
          <w:lang w:val="zh-CN"/>
        </w:rPr>
        <w:t>减少0.57万元，下降67.</w:t>
      </w:r>
      <w:r>
        <w:rPr>
          <w:rFonts w:hint="eastAsia" w:ascii="仿宋_GB2312" w:eastAsia="仿宋_GB2312"/>
          <w:sz w:val="32"/>
          <w:szCs w:val="32"/>
          <w:lang w:val="en-US" w:eastAsia="zh-CN"/>
        </w:rPr>
        <w:t>86</w:t>
      </w:r>
      <w:r>
        <w:rPr>
          <w:rFonts w:hint="eastAsia" w:ascii="仿宋_GB2312" w:eastAsia="仿宋_GB2312"/>
          <w:sz w:val="32"/>
          <w:szCs w:val="32"/>
          <w:lang w:val="zh-CN"/>
        </w:rPr>
        <w:t>%，主要原因是：</w:t>
      </w:r>
      <w:r>
        <w:rPr>
          <w:rFonts w:hint="eastAsia" w:ascii="仿宋_GB2312" w:hAnsi="仿宋" w:eastAsia="仿宋_GB2312"/>
          <w:sz w:val="32"/>
          <w:szCs w:val="32"/>
        </w:rPr>
        <w:t>严控“三公”经费支出，逐年减少支出。</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我单位无因公出国支出。</w:t>
      </w:r>
      <w:r>
        <w:rPr>
          <w:rFonts w:hint="eastAsia" w:ascii="仿宋_GB2312" w:eastAsia="仿宋_GB2312"/>
          <w:sz w:val="32"/>
          <w:szCs w:val="32"/>
          <w:lang w:val="zh-CN"/>
        </w:rPr>
        <w:t>公务用车购置及运行维护费支出0.27万元，占100.00%，比上年减少0.57万元，下降67.</w:t>
      </w:r>
      <w:r>
        <w:rPr>
          <w:rFonts w:hint="eastAsia" w:ascii="仿宋_GB2312" w:eastAsia="仿宋_GB2312"/>
          <w:sz w:val="32"/>
          <w:szCs w:val="32"/>
          <w:lang w:val="en-US" w:eastAsia="zh-CN"/>
        </w:rPr>
        <w:t>8</w:t>
      </w:r>
      <w:r>
        <w:rPr>
          <w:rFonts w:hint="eastAsia" w:ascii="仿宋_GB2312" w:eastAsia="仿宋_GB2312"/>
          <w:sz w:val="32"/>
          <w:szCs w:val="32"/>
          <w:lang w:val="zh-CN"/>
        </w:rPr>
        <w:t>6%，主要原因是：厉行节约，减少车购置及运行维护费；公务接待费支出0.00万元，占0.00%，比上年增加0.00万元，增长0.00%。</w:t>
      </w:r>
      <w:r>
        <w:rPr>
          <w:rFonts w:hint="eastAsia" w:ascii="仿宋_GB2312" w:eastAsia="仿宋_GB2312"/>
          <w:sz w:val="32"/>
          <w:szCs w:val="32"/>
          <w:lang w:val="en-US" w:eastAsia="zh-CN"/>
        </w:rPr>
        <w:t>主要原因是：我单位无公务接待支出。</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因公出国（境）费支出0.00万元，</w:t>
      </w:r>
      <w:r>
        <w:rPr>
          <w:rFonts w:hint="eastAsia" w:ascii="仿宋_GB2312" w:eastAsia="仿宋_GB2312"/>
          <w:sz w:val="32"/>
          <w:szCs w:val="32"/>
          <w:lang w:val="en-US" w:eastAsia="zh-CN"/>
        </w:rPr>
        <w:t>开支内容包括：我单位无因公出国支出。</w:t>
      </w:r>
      <w:r>
        <w:rPr>
          <w:rFonts w:hint="eastAsia" w:ascii="仿宋_GB2312" w:eastAsia="仿宋_GB2312"/>
          <w:sz w:val="32"/>
          <w:szCs w:val="32"/>
          <w:lang w:val="zh-CN"/>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公务用车购置及运行维护费0.27万元，其中：公务用车购置费0.00万元，公务用车运行维护费0.27万元。公务用车运行维护费开支内容包括</w:t>
      </w:r>
      <w:r>
        <w:rPr>
          <w:rFonts w:hint="eastAsia" w:ascii="仿宋_GB2312" w:eastAsia="仿宋_GB2312"/>
          <w:sz w:val="32"/>
          <w:szCs w:val="32"/>
        </w:rPr>
        <w:t>车辆保险、车辆维修维护</w:t>
      </w:r>
      <w:r>
        <w:rPr>
          <w:rFonts w:hint="eastAsia" w:ascii="仿宋_GB2312" w:eastAsia="仿宋_GB2312"/>
          <w:sz w:val="32"/>
          <w:szCs w:val="32"/>
          <w:lang w:val="zh-CN"/>
        </w:rPr>
        <w:t>。公务用车购置数0辆，公务用车保有量1辆。国有资产占用情况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原因是：2</w:t>
      </w:r>
      <w:r>
        <w:rPr>
          <w:rFonts w:ascii="仿宋_GB2312" w:eastAsia="仿宋_GB2312"/>
          <w:sz w:val="32"/>
          <w:szCs w:val="32"/>
          <w:lang w:val="zh-CN"/>
        </w:rPr>
        <w:t>023</w:t>
      </w:r>
      <w:r>
        <w:rPr>
          <w:rFonts w:hint="eastAsia" w:ascii="仿宋_GB2312" w:eastAsia="仿宋_GB2312"/>
          <w:sz w:val="32"/>
          <w:szCs w:val="32"/>
          <w:lang w:val="zh-CN"/>
        </w:rPr>
        <w:t>年度公务用车已累计计提折旧完毕，残值为0。</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公务接待费0.00万元。</w:t>
      </w:r>
      <w:r>
        <w:rPr>
          <w:rFonts w:hint="eastAsia" w:ascii="仿宋_GB2312" w:eastAsia="仿宋_GB2312"/>
          <w:sz w:val="32"/>
          <w:szCs w:val="32"/>
          <w:lang w:val="en-US" w:eastAsia="zh-CN"/>
        </w:rPr>
        <w:t>开支内容包括：我单位无公务接待支出。</w:t>
      </w:r>
      <w:r>
        <w:rPr>
          <w:rFonts w:hint="eastAsia" w:ascii="仿宋_GB2312" w:eastAsia="仿宋_GB2312"/>
          <w:sz w:val="32"/>
          <w:szCs w:val="32"/>
          <w:lang w:val="zh-CN"/>
        </w:rPr>
        <w:t>单位全年安排的国内公务接待0批次，0人次。</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预算数0.27万元，决算数0.27万元，预决算差异率0.00%，主要原因是：预决算一致无差异。其中：因公出国（境）费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w:t>
      </w:r>
      <w:r>
        <w:rPr>
          <w:rFonts w:hint="eastAsia" w:ascii="仿宋_GB2312" w:eastAsia="仿宋_GB2312"/>
          <w:sz w:val="32"/>
          <w:szCs w:val="32"/>
          <w:lang w:val="en-US" w:eastAsia="zh-CN"/>
        </w:rPr>
        <w:t>主要原因是：我单位无因公出国支出。</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w:t>
      </w:r>
      <w:r>
        <w:rPr>
          <w:rFonts w:hint="eastAsia" w:ascii="仿宋_GB2312" w:eastAsia="仿宋_GB2312"/>
          <w:sz w:val="32"/>
          <w:szCs w:val="32"/>
          <w:lang w:val="en-US" w:eastAsia="zh-CN"/>
        </w:rPr>
        <w:t>主要原因是：我单位无公车购置支出。</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预算数0.27万元，决算数0.27万元，预决算差异率0.00%，主要原因是：</w:t>
      </w:r>
      <w:r>
        <w:rPr>
          <w:rFonts w:hint="eastAsia" w:ascii="仿宋_GB2312" w:eastAsia="仿宋_GB2312"/>
          <w:sz w:val="32"/>
          <w:szCs w:val="32"/>
          <w:lang w:val="en-US" w:eastAsia="zh-CN"/>
        </w:rPr>
        <w:t>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w:t>
      </w:r>
      <w:r>
        <w:rPr>
          <w:rFonts w:hint="eastAsia" w:ascii="仿宋_GB2312" w:eastAsia="仿宋_GB2312"/>
          <w:sz w:val="32"/>
          <w:szCs w:val="32"/>
          <w:lang w:val="en-US" w:eastAsia="zh-CN"/>
        </w:rPr>
        <w:t>主要原因是：我单位无公务接待支出。</w:t>
      </w:r>
    </w:p>
    <w:p>
      <w:pPr>
        <w:ind w:firstLine="640" w:firstLineChars="200"/>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val="en-US" w:eastAsia="zh-CN"/>
        </w:rPr>
        <w:t>部门</w:t>
      </w:r>
      <w:r>
        <w:rPr>
          <w:rFonts w:hint="eastAsia" w:ascii="仿宋_GB2312" w:eastAsia="仿宋_GB2312"/>
          <w:sz w:val="32"/>
          <w:szCs w:val="32"/>
        </w:rPr>
        <w:t>本年度无政府性基金预算财政拨款收入、支出及结转和结余，政府性基金预算财政拨款收入支出决算表为空表。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val="en-US" w:eastAsia="zh-CN"/>
        </w:rPr>
        <w:t>部门</w:t>
      </w:r>
      <w:r>
        <w:rPr>
          <w:rFonts w:hint="eastAsia" w:ascii="仿宋_GB2312" w:eastAsia="仿宋_GB2312"/>
          <w:sz w:val="32"/>
          <w:szCs w:val="32"/>
        </w:rPr>
        <w:t>本年度无国有资本经营预算财政拨款收入、支出及结转和结余，国有资本经营预算财政拨款收入支出决算表为空表。</w:t>
      </w:r>
    </w:p>
    <w:p>
      <w:pPr>
        <w:ind w:firstLine="640" w:firstLineChars="200"/>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中国国民党革命委员会库尔勒市委员会（行政单位和参照公务员法管理事业单位）机关运行经费支出2.84万元，比上年增加0.49万元，增长</w:t>
      </w:r>
      <w:r>
        <w:rPr>
          <w:rFonts w:hint="eastAsia" w:eastAsia="仿宋_GB2312"/>
          <w:sz w:val="32"/>
          <w:szCs w:val="32"/>
          <w:lang w:val="en-US" w:eastAsia="zh-CN"/>
        </w:rPr>
        <w:t>20.85</w:t>
      </w:r>
      <w:r>
        <w:rPr>
          <w:rFonts w:hint="eastAsia" w:eastAsia="仿宋_GB2312"/>
          <w:sz w:val="32"/>
          <w:szCs w:val="32"/>
        </w:rPr>
        <w:t>%,主要原因是：加大业务工作力度，财政按需增加经费。</w:t>
      </w:r>
    </w:p>
    <w:p>
      <w:pPr>
        <w:ind w:firstLine="640" w:firstLineChars="200"/>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eastAsia="仿宋_GB2312"/>
          <w:sz w:val="32"/>
          <w:szCs w:val="32"/>
          <w:lang w:val="zh-CN"/>
        </w:rPr>
      </w:pPr>
      <w:r>
        <w:rPr>
          <w:rFonts w:hint="eastAsia" w:eastAsia="仿宋_GB2312"/>
          <w:sz w:val="32"/>
          <w:szCs w:val="32"/>
          <w:lang w:val="zh-CN"/>
        </w:rPr>
        <w:t>2023年度政府采购支出总额0.24万元，其中：政府采购货物支出0.00万元、政府采购工程支出0.00万元、政府采购服务支出0.24万元。</w:t>
      </w:r>
    </w:p>
    <w:p>
      <w:pPr>
        <w:ind w:firstLine="640" w:firstLineChars="200"/>
        <w:rPr>
          <w:rFonts w:eastAsia="仿宋_GB2312"/>
          <w:sz w:val="32"/>
          <w:szCs w:val="32"/>
        </w:rPr>
      </w:pPr>
      <w:r>
        <w:rPr>
          <w:rFonts w:hint="eastAsia" w:eastAsia="仿宋_GB2312"/>
          <w:sz w:val="32"/>
          <w:szCs w:val="32"/>
          <w:lang w:val="zh-CN"/>
        </w:rPr>
        <w:t>授予中小企业合同金额0.24万元，占政府采购支出总额的100.00</w:t>
      </w:r>
      <w:r>
        <w:rPr>
          <w:rFonts w:eastAsia="仿宋_GB2312"/>
          <w:sz w:val="32"/>
          <w:szCs w:val="32"/>
          <w:lang w:val="zh-CN"/>
        </w:rPr>
        <w:t>%</w:t>
      </w:r>
      <w:r>
        <w:rPr>
          <w:rFonts w:hint="eastAsia" w:eastAsia="仿宋_GB2312"/>
          <w:sz w:val="32"/>
          <w:szCs w:val="32"/>
          <w:lang w:val="zh-CN"/>
        </w:rPr>
        <w:t>，其中：授予小微企业合同金额0.24万元，占政府采购支出总额的100.00</w:t>
      </w:r>
      <w:r>
        <w:rPr>
          <w:rFonts w:eastAsia="仿宋_GB2312"/>
          <w:sz w:val="32"/>
          <w:szCs w:val="32"/>
          <w:lang w:val="zh-CN"/>
        </w:rPr>
        <w:t>%</w:t>
      </w:r>
      <w:r>
        <w:rPr>
          <w:rFonts w:hint="eastAsia" w:eastAsia="仿宋_GB2312"/>
          <w:sz w:val="32"/>
          <w:szCs w:val="32"/>
        </w:rPr>
        <w:t>。</w:t>
      </w:r>
    </w:p>
    <w:p>
      <w:pPr>
        <w:ind w:firstLine="640" w:firstLineChars="200"/>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4.78</w:t>
      </w:r>
      <w:r>
        <w:rPr>
          <w:rFonts w:hint="eastAsia" w:eastAsia="仿宋_GB2312"/>
          <w:sz w:val="32"/>
          <w:szCs w:val="32"/>
        </w:rPr>
        <w:t>万元，房</w:t>
      </w:r>
      <w:r>
        <w:rPr>
          <w:rFonts w:hint="eastAsia" w:eastAsia="仿宋_GB2312"/>
          <w:sz w:val="32"/>
          <w:szCs w:val="32"/>
          <w:lang w:val="zh-CN"/>
        </w:rPr>
        <w:t>屋0.0平方米，价值0.00万元。车辆0辆，价值0.00万元，其中：副部（省）级及以上领导用车0辆、主要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用车0辆、其他用车0辆；其他用车主要是：无其他用车。单价100万元（含）以上设备（不含车辆）0</w:t>
      </w:r>
      <w:r>
        <w:rPr>
          <w:rFonts w:hint="eastAsia" w:eastAsia="仿宋_GB2312"/>
          <w:sz w:val="32"/>
          <w:szCs w:val="32"/>
        </w:rPr>
        <w:t>台</w:t>
      </w:r>
      <w:r>
        <w:rPr>
          <w:rFonts w:hint="eastAsia" w:eastAsia="仿宋_GB2312"/>
          <w:sz w:val="32"/>
          <w:szCs w:val="32"/>
          <w:lang w:val="zh-CN"/>
        </w:rPr>
        <w:t>。</w:t>
      </w:r>
    </w:p>
    <w:p>
      <w:pPr>
        <w:ind w:firstLine="640" w:firstLineChars="200"/>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w:t>
      </w:r>
      <w:r>
        <w:rPr>
          <w:rFonts w:hint="eastAsia" w:ascii="仿宋_GB2312" w:eastAsia="仿宋_GB2312"/>
          <w:sz w:val="32"/>
          <w:szCs w:val="32"/>
          <w:lang w:val="en-US" w:eastAsia="zh-CN"/>
        </w:rPr>
        <w:t>部门</w:t>
      </w:r>
      <w:r>
        <w:rPr>
          <w:rFonts w:hint="eastAsia" w:ascii="仿宋_GB2312" w:eastAsia="仿宋_GB2312"/>
          <w:sz w:val="32"/>
          <w:szCs w:val="32"/>
        </w:rPr>
        <w:t>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预算总额5</w:t>
      </w:r>
      <w:r>
        <w:rPr>
          <w:rFonts w:ascii="仿宋_GB2312" w:eastAsia="仿宋_GB2312"/>
          <w:sz w:val="32"/>
          <w:szCs w:val="32"/>
        </w:rPr>
        <w:t>4.6</w:t>
      </w:r>
      <w:r>
        <w:rPr>
          <w:rFonts w:hint="eastAsia" w:ascii="仿宋_GB2312" w:eastAsia="仿宋_GB2312"/>
          <w:sz w:val="32"/>
          <w:szCs w:val="32"/>
          <w:lang w:val="en-US" w:eastAsia="zh-CN"/>
        </w:rPr>
        <w:t>2</w:t>
      </w:r>
      <w:r>
        <w:rPr>
          <w:rFonts w:hint="eastAsia" w:ascii="仿宋_GB2312" w:eastAsia="仿宋_GB2312"/>
          <w:sz w:val="32"/>
          <w:szCs w:val="32"/>
        </w:rPr>
        <w:t>万元，实际执行总额5</w:t>
      </w:r>
      <w:r>
        <w:rPr>
          <w:rFonts w:ascii="仿宋_GB2312" w:eastAsia="仿宋_GB2312"/>
          <w:sz w:val="32"/>
          <w:szCs w:val="32"/>
        </w:rPr>
        <w:t>4.6</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预算绩效评价项目1个，全年预算数1万元，全年执行数1万元。预算绩效管</w:t>
      </w:r>
      <w:bookmarkStart w:id="48" w:name="_GoBack"/>
      <w:bookmarkEnd w:id="48"/>
      <w:r>
        <w:rPr>
          <w:rFonts w:hint="eastAsia" w:ascii="仿宋_GB2312" w:eastAsia="仿宋_GB2312"/>
          <w:sz w:val="32"/>
          <w:szCs w:val="32"/>
        </w:rPr>
        <w:t>理取得的成效：一是提高了绩效目标的科学性、规范性、使用性；二是开展绩效自评提升了自评质量。发现的问题及原因：一是预算绩效观念不深入：在日常绩效监控工作中存在着一定程度的“重分配、轻管理、重支出、轻绩效”的情况，造成该问题的主要原因是自身绩效理念较薄弱，单位绩效目标编制仍有缺失；二是预算绩效规范管理有盲点：财务人员面对当前绩效管理工作既没有现成的经验可供借鉴，又缺乏专业性很强的技能储备。下一步改进措施：一是需要进一步加强对资金绩效管理的重视程度；二是不断边工作、边学习、边积累，短期内提高自身业务水平，做到程序规范、管理科学，满足当前绩效管理要求。具体项目自评情况附项目支出绩效自评表。</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无其他需说明事项。</w:t>
      </w: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outlineLvl w:val="1"/>
        <w:rPr>
          <w:rFonts w:ascii="仿宋_GB2312" w:eastAsia="仿宋_GB2312"/>
          <w:sz w:val="32"/>
          <w:szCs w:val="32"/>
        </w:rPr>
      </w:pPr>
      <w:bookmarkStart w:id="32" w:name="_Toc6062"/>
      <w:bookmarkStart w:id="33" w:name="_Toc2183"/>
      <w:r>
        <w:rPr>
          <w:rFonts w:hint="eastAsia" w:ascii="仿宋_GB2312" w:eastAsia="仿宋_GB2312"/>
          <w:sz w:val="32"/>
          <w:szCs w:val="32"/>
        </w:rPr>
        <w:t>一、《收入支出决算总表》</w:t>
      </w:r>
      <w:bookmarkEnd w:id="32"/>
      <w:bookmarkEnd w:id="33"/>
    </w:p>
    <w:p>
      <w:pPr>
        <w:outlineLvl w:val="1"/>
        <w:rPr>
          <w:rFonts w:ascii="仿宋_GB2312" w:eastAsia="仿宋_GB2312"/>
          <w:sz w:val="32"/>
          <w:szCs w:val="32"/>
        </w:rPr>
      </w:pPr>
      <w:bookmarkStart w:id="34" w:name="_Toc30364"/>
      <w:bookmarkStart w:id="35" w:name="_Toc24532"/>
      <w:r>
        <w:rPr>
          <w:rFonts w:hint="eastAsia" w:ascii="仿宋_GB2312" w:eastAsia="仿宋_GB2312"/>
          <w:sz w:val="32"/>
          <w:szCs w:val="32"/>
        </w:rPr>
        <w:t>二、《收入决算表》</w:t>
      </w:r>
      <w:bookmarkEnd w:id="34"/>
      <w:bookmarkEnd w:id="35"/>
    </w:p>
    <w:p>
      <w:pPr>
        <w:outlineLvl w:val="1"/>
        <w:rPr>
          <w:rFonts w:ascii="仿宋_GB2312" w:eastAsia="仿宋_GB2312"/>
          <w:sz w:val="32"/>
          <w:szCs w:val="32"/>
        </w:rPr>
      </w:pPr>
      <w:bookmarkStart w:id="36" w:name="_Toc21304"/>
      <w:bookmarkStart w:id="37" w:name="_Toc32434"/>
      <w:r>
        <w:rPr>
          <w:rFonts w:hint="eastAsia" w:ascii="仿宋_GB2312" w:eastAsia="仿宋_GB2312"/>
          <w:sz w:val="32"/>
          <w:szCs w:val="32"/>
        </w:rPr>
        <w:t>三、《支出决算表》</w:t>
      </w:r>
      <w:bookmarkEnd w:id="36"/>
      <w:bookmarkEnd w:id="37"/>
    </w:p>
    <w:p>
      <w:pPr>
        <w:outlineLvl w:val="1"/>
        <w:rPr>
          <w:rFonts w:ascii="仿宋_GB2312" w:eastAsia="仿宋_GB2312"/>
          <w:sz w:val="32"/>
          <w:szCs w:val="32"/>
        </w:rPr>
      </w:pPr>
      <w:bookmarkStart w:id="38" w:name="_Toc28786"/>
      <w:bookmarkStart w:id="39" w:name="_Toc14238"/>
      <w:r>
        <w:rPr>
          <w:rFonts w:hint="eastAsia" w:ascii="仿宋_GB2312" w:eastAsia="仿宋_GB2312"/>
          <w:sz w:val="32"/>
          <w:szCs w:val="32"/>
        </w:rPr>
        <w:t>四、《财政拨款收入支出决算总表》</w:t>
      </w:r>
      <w:bookmarkEnd w:id="38"/>
      <w:bookmarkEnd w:id="39"/>
    </w:p>
    <w:p>
      <w:pPr>
        <w:outlineLvl w:val="1"/>
        <w:rPr>
          <w:rFonts w:ascii="仿宋_GB2312" w:eastAsia="仿宋_GB2312"/>
          <w:sz w:val="32"/>
          <w:szCs w:val="32"/>
        </w:rPr>
      </w:pPr>
      <w:bookmarkStart w:id="40" w:name="_Toc14869"/>
      <w:bookmarkStart w:id="41" w:name="_Toc10347"/>
      <w:r>
        <w:rPr>
          <w:rFonts w:hint="eastAsia" w:ascii="仿宋_GB2312" w:eastAsia="仿宋_GB2312"/>
          <w:sz w:val="32"/>
          <w:szCs w:val="32"/>
        </w:rPr>
        <w:t>五、《一般公共预算财政拨款支出决算表》</w:t>
      </w:r>
      <w:bookmarkEnd w:id="40"/>
      <w:bookmarkEnd w:id="41"/>
    </w:p>
    <w:p>
      <w:pPr>
        <w:outlineLvl w:val="1"/>
        <w:rPr>
          <w:rFonts w:ascii="仿宋_GB2312" w:eastAsia="仿宋_GB2312"/>
          <w:sz w:val="32"/>
          <w:szCs w:val="32"/>
        </w:rPr>
      </w:pPr>
      <w:bookmarkStart w:id="42" w:name="_Toc8884"/>
      <w:bookmarkStart w:id="43" w:name="_Toc5626"/>
      <w:r>
        <w:rPr>
          <w:rFonts w:hint="eastAsia" w:ascii="仿宋_GB2312" w:eastAsia="仿宋_GB2312"/>
          <w:sz w:val="32"/>
          <w:szCs w:val="32"/>
        </w:rPr>
        <w:t>六、《一般公共预算财政拨款基本支出决算表》</w:t>
      </w:r>
      <w:bookmarkEnd w:id="42"/>
      <w:bookmarkEnd w:id="43"/>
    </w:p>
    <w:p>
      <w:pPr>
        <w:outlineLvl w:val="1"/>
        <w:rPr>
          <w:rFonts w:ascii="仿宋_GB2312" w:eastAsia="仿宋_GB2312"/>
          <w:sz w:val="32"/>
          <w:szCs w:val="32"/>
        </w:rPr>
      </w:pPr>
      <w:r>
        <w:rPr>
          <w:rFonts w:hint="eastAsia" w:ascii="仿宋_GB2312" w:eastAsia="仿宋_GB2312"/>
          <w:sz w:val="32"/>
          <w:szCs w:val="32"/>
        </w:rPr>
        <w:t>七、</w:t>
      </w:r>
      <w:bookmarkStart w:id="44" w:name="_Toc32663"/>
      <w:bookmarkStart w:id="45" w:name="_Toc29106"/>
      <w:r>
        <w:rPr>
          <w:rFonts w:hint="eastAsia" w:ascii="仿宋_GB2312" w:eastAsia="仿宋_GB2312"/>
          <w:sz w:val="32"/>
          <w:szCs w:val="32"/>
        </w:rPr>
        <w:t>《财政拨款“三公”经费支出决算表》</w:t>
      </w:r>
      <w:bookmarkEnd w:id="44"/>
      <w:bookmarkEnd w:id="45"/>
    </w:p>
    <w:p>
      <w:pPr>
        <w:outlineLvl w:val="1"/>
        <w:rPr>
          <w:rFonts w:ascii="仿宋_GB2312" w:eastAsia="仿宋_GB2312"/>
          <w:sz w:val="32"/>
          <w:szCs w:val="32"/>
        </w:rPr>
      </w:pPr>
      <w:bookmarkStart w:id="46" w:name="_Toc5453"/>
      <w:bookmarkStart w:id="47" w:name="_Toc7643"/>
      <w:r>
        <w:rPr>
          <w:rFonts w:hint="eastAsia" w:ascii="仿宋_GB2312" w:eastAsia="仿宋_GB2312"/>
          <w:sz w:val="32"/>
          <w:szCs w:val="32"/>
        </w:rPr>
        <w:t>八、《政府性基金预算财政拨款收入支出决算表》</w:t>
      </w:r>
      <w:bookmarkEnd w:id="46"/>
      <w:bookmarkEnd w:id="47"/>
      <w:r>
        <w:rPr>
          <w:rFonts w:hint="eastAsia" w:ascii="仿宋_GB2312" w:eastAsia="仿宋_GB2312"/>
          <w:sz w:val="32"/>
          <w:szCs w:val="32"/>
        </w:rPr>
        <w:t>（空表）</w:t>
      </w:r>
    </w:p>
    <w:p>
      <w:pPr>
        <w:outlineLvl w:val="1"/>
        <w:rPr>
          <w:rFonts w:ascii="仿宋_GB2312" w:eastAsia="仿宋_GB2312"/>
          <w:sz w:val="32"/>
          <w:szCs w:val="32"/>
        </w:rPr>
      </w:pPr>
      <w:r>
        <w:rPr>
          <w:rFonts w:hint="eastAsia" w:ascii="仿宋_GB2312" w:eastAsia="仿宋_GB2312"/>
          <w:sz w:val="32"/>
          <w:szCs w:val="32"/>
        </w:rPr>
        <w:t>九、《国有资本经营预算财政拨款收入支出决算表》（空表）</w:t>
      </w:r>
    </w:p>
    <w:p>
      <w:pPr>
        <w:ind w:firstLine="600" w:firstLineChars="200"/>
        <w:rPr>
          <w:rFonts w:ascii="仿宋_GB2312" w:eastAsia="仿宋_GB2312"/>
          <w:sz w:val="30"/>
          <w:szCs w:val="30"/>
        </w:rPr>
      </w:pPr>
    </w:p>
    <w:p>
      <w:pPr>
        <w:ind w:firstLine="600" w:firstLineChars="200"/>
        <w:outlineLvl w:val="1"/>
        <w:rPr>
          <w:rFonts w:ascii="黑体" w:hAnsi="黑体" w:eastAsia="黑体" w:cs="宋体"/>
          <w:bCs/>
          <w:kern w:val="0"/>
          <w:sz w:val="30"/>
          <w:szCs w:val="30"/>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outlineLvl w:val="1"/>
        <w:rPr>
          <w:rFonts w:hint="eastAsia" w:ascii="黑体" w:hAnsi="黑体" w:eastAsia="黑体" w:cs="宋体"/>
          <w:bCs/>
          <w:kern w:val="0"/>
          <w:sz w:val="32"/>
          <w:szCs w:val="32"/>
        </w:rPr>
      </w:pPr>
      <w:r>
        <w:rPr>
          <w:rFonts w:hint="eastAsia"/>
        </w:rPr>
        <w:drawing>
          <wp:inline distT="0" distB="0" distL="0" distR="0">
            <wp:extent cx="5272405" cy="870585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90506" cy="8735418"/>
                    </a:xfrm>
                    <a:prstGeom prst="rect">
                      <a:avLst/>
                    </a:prstGeom>
                    <a:noFill/>
                    <a:ln>
                      <a:noFill/>
                    </a:ln>
                  </pic:spPr>
                </pic:pic>
              </a:graphicData>
            </a:graphic>
          </wp:inline>
        </w:drawing>
      </w:r>
    </w:p>
    <w:p>
      <w:pPr>
        <w:outlineLvl w:val="1"/>
        <w:rPr>
          <w:rFonts w:hint="eastAsia" w:ascii="黑体" w:hAnsi="黑体" w:eastAsia="黑体" w:cs="宋体"/>
          <w:bCs/>
          <w:kern w:val="0"/>
          <w:sz w:val="32"/>
          <w:szCs w:val="32"/>
        </w:rPr>
      </w:pPr>
      <w:r>
        <w:drawing>
          <wp:inline distT="0" distB="0" distL="0" distR="0">
            <wp:extent cx="5414010" cy="86798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29408" cy="8704413"/>
                    </a:xfrm>
                    <a:prstGeom prst="rect">
                      <a:avLst/>
                    </a:prstGeom>
                    <a:noFill/>
                    <a:ln>
                      <a:noFill/>
                    </a:ln>
                  </pic:spPr>
                </pic:pic>
              </a:graphicData>
            </a:graphic>
          </wp:inline>
        </w:drawing>
      </w:r>
    </w:p>
    <w:p>
      <w:pPr>
        <w:outlineLvl w:val="1"/>
        <w:rPr>
          <w:rFonts w:ascii="黑体" w:hAnsi="黑体" w:eastAsia="黑体" w:cs="宋体"/>
          <w:bCs/>
          <w:kern w:val="0"/>
          <w:sz w:val="32"/>
          <w:szCs w:val="32"/>
        </w:rPr>
      </w:pPr>
      <w:r>
        <w:drawing>
          <wp:inline distT="0" distB="0" distL="0" distR="0">
            <wp:extent cx="5542915" cy="8467725"/>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556899" cy="8488666"/>
                    </a:xfrm>
                    <a:prstGeom prst="rect">
                      <a:avLst/>
                    </a:prstGeom>
                    <a:noFill/>
                    <a:ln>
                      <a:noFill/>
                    </a:ln>
                  </pic:spPr>
                </pic:pic>
              </a:graphicData>
            </a:graphic>
          </wp:inline>
        </w:drawing>
      </w: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r>
        <w:rPr>
          <w:rFonts w:hint="eastAsia"/>
        </w:rPr>
        <w:drawing>
          <wp:inline distT="0" distB="0" distL="0" distR="0">
            <wp:extent cx="5286375" cy="87572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94607" cy="8771272"/>
                    </a:xfrm>
                    <a:prstGeom prst="rect">
                      <a:avLst/>
                    </a:prstGeom>
                    <a:noFill/>
                    <a:ln>
                      <a:noFill/>
                    </a:ln>
                  </pic:spPr>
                </pic:pic>
              </a:graphicData>
            </a:graphic>
          </wp:inline>
        </w:drawing>
      </w:r>
    </w:p>
    <w:p>
      <w:pPr>
        <w:outlineLvl w:val="1"/>
        <w:rPr>
          <w:rFonts w:ascii="黑体" w:hAnsi="黑体" w:eastAsia="黑体" w:cs="宋体"/>
          <w:bCs/>
          <w:kern w:val="0"/>
          <w:sz w:val="32"/>
          <w:szCs w:val="32"/>
        </w:rPr>
      </w:pPr>
      <w:r>
        <w:rPr>
          <w:rFonts w:hint="eastAsia"/>
        </w:rPr>
        <w:drawing>
          <wp:inline distT="0" distB="0" distL="0" distR="0">
            <wp:extent cx="5273675" cy="5285105"/>
            <wp:effectExtent l="0" t="0" r="317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4636" cy="5285741"/>
                    </a:xfrm>
                    <a:prstGeom prst="rect">
                      <a:avLst/>
                    </a:prstGeom>
                    <a:noFill/>
                    <a:ln>
                      <a:noFill/>
                    </a:ln>
                  </pic:spPr>
                </pic:pic>
              </a:graphicData>
            </a:graphic>
          </wp:inline>
        </w:drawing>
      </w: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sectPr>
          <w:pgSz w:w="11906" w:h="16838"/>
          <w:pgMar w:top="1440" w:right="1800" w:bottom="1440" w:left="1800" w:header="851" w:footer="992" w:gutter="0"/>
          <w:cols w:space="720" w:num="1"/>
          <w:docGrid w:type="lines" w:linePitch="312" w:charSpace="0"/>
        </w:sectPr>
      </w:pPr>
    </w:p>
    <w:p>
      <w:pPr>
        <w:outlineLvl w:val="1"/>
        <w:rPr>
          <w:rFonts w:ascii="黑体" w:hAnsi="黑体" w:eastAsia="黑体" w:cs="宋体"/>
          <w:bCs/>
          <w:kern w:val="0"/>
          <w:sz w:val="32"/>
          <w:szCs w:val="32"/>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59264" behindDoc="0" locked="0" layoutInCell="1" allowOverlap="1">
            <wp:simplePos x="0" y="0"/>
            <wp:positionH relativeFrom="column">
              <wp:posOffset>-346075</wp:posOffset>
            </wp:positionH>
            <wp:positionV relativeFrom="paragraph">
              <wp:posOffset>421005</wp:posOffset>
            </wp:positionV>
            <wp:extent cx="6114415" cy="7484110"/>
            <wp:effectExtent l="0" t="0" r="635" b="2540"/>
            <wp:wrapSquare wrapText="bothSides"/>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6114415" cy="7484110"/>
                    </a:xfrm>
                    <a:prstGeom prst="rect">
                      <a:avLst/>
                    </a:prstGeom>
                    <a:noFill/>
                    <a:ln>
                      <a:noFill/>
                    </a:ln>
                  </pic:spPr>
                </pic:pic>
              </a:graphicData>
            </a:graphic>
          </wp:anchor>
        </w:drawing>
      </w: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r>
        <w:drawing>
          <wp:anchor distT="0" distB="0" distL="114300" distR="114300" simplePos="0" relativeHeight="251660288" behindDoc="0" locked="0" layoutInCell="1" allowOverlap="1">
            <wp:simplePos x="0" y="0"/>
            <wp:positionH relativeFrom="column">
              <wp:posOffset>-621030</wp:posOffset>
            </wp:positionH>
            <wp:positionV relativeFrom="paragraph">
              <wp:posOffset>41910</wp:posOffset>
            </wp:positionV>
            <wp:extent cx="6468745" cy="3406140"/>
            <wp:effectExtent l="0" t="0" r="8255" b="3810"/>
            <wp:wrapSquare wrapText="bothSides"/>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6468745" cy="3406140"/>
                    </a:xfrm>
                    <a:prstGeom prst="rect">
                      <a:avLst/>
                    </a:prstGeom>
                    <a:noFill/>
                    <a:ln>
                      <a:noFill/>
                    </a:ln>
                  </pic:spPr>
                </pic:pic>
              </a:graphicData>
            </a:graphic>
          </wp:anchor>
        </w:drawing>
      </w: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r>
        <w:drawing>
          <wp:anchor distT="0" distB="0" distL="114300" distR="114300" simplePos="0" relativeHeight="251661312" behindDoc="0" locked="0" layoutInCell="1" allowOverlap="1">
            <wp:simplePos x="0" y="0"/>
            <wp:positionH relativeFrom="column">
              <wp:posOffset>-379095</wp:posOffset>
            </wp:positionH>
            <wp:positionV relativeFrom="paragraph">
              <wp:posOffset>395605</wp:posOffset>
            </wp:positionV>
            <wp:extent cx="6099810" cy="3133725"/>
            <wp:effectExtent l="0" t="0" r="15240" b="9525"/>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6099810" cy="3133725"/>
                    </a:xfrm>
                    <a:prstGeom prst="rect">
                      <a:avLst/>
                    </a:prstGeom>
                    <a:noFill/>
                    <a:ln>
                      <a:noFill/>
                    </a:ln>
                  </pic:spPr>
                </pic:pic>
              </a:graphicData>
            </a:graphic>
          </wp:anchor>
        </w:drawing>
      </w: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p>
    <w:p>
      <w:pPr>
        <w:outlineLvl w:val="1"/>
        <w:rPr>
          <w:rFonts w:ascii="仿宋_GB2312" w:eastAsia="仿宋_GB2312"/>
          <w:sz w:val="32"/>
          <w:szCs w:val="32"/>
        </w:rPr>
      </w:pPr>
      <w:r>
        <w:rPr>
          <w:rFonts w:hint="eastAsia" w:ascii="黑体" w:hAnsi="黑体" w:eastAsia="黑体" w:cs="宋体"/>
          <w:bCs/>
          <w:kern w:val="0"/>
          <w:sz w:val="32"/>
          <w:szCs w:val="32"/>
        </w:rPr>
        <w:t xml:space="preserve"> </w:t>
      </w:r>
    </w:p>
    <w:p>
      <w:pPr>
        <w:outlineLvl w:val="1"/>
        <w:rPr>
          <w:rFonts w:ascii="黑体" w:hAnsi="黑体" w:eastAsia="黑体" w:cs="宋体"/>
          <w:bCs/>
          <w:kern w:val="0"/>
          <w:sz w:val="32"/>
          <w:szCs w:val="32"/>
        </w:rPr>
      </w:pPr>
    </w:p>
    <w:p>
      <w:pPr>
        <w:outlineLvl w:val="1"/>
        <w:rPr>
          <w:rFonts w:ascii="黑体" w:hAnsi="黑体" w:eastAsia="黑体" w:cs="宋体"/>
          <w:bCs/>
          <w:kern w:val="0"/>
          <w:sz w:val="32"/>
          <w:szCs w:val="32"/>
        </w:rPr>
      </w:pPr>
      <w:r>
        <w:rPr>
          <w:rFonts w:hint="eastAsia"/>
        </w:rPr>
        <w:drawing>
          <wp:inline distT="0" distB="0" distL="0" distR="0">
            <wp:extent cx="5273675" cy="2929890"/>
            <wp:effectExtent l="0" t="0" r="3175"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79091" cy="2932953"/>
                    </a:xfrm>
                    <a:prstGeom prst="rect">
                      <a:avLst/>
                    </a:prstGeom>
                    <a:noFill/>
                    <a:ln>
                      <a:noFill/>
                    </a:ln>
                  </pic:spPr>
                </pic:pic>
              </a:graphicData>
            </a:graphic>
          </wp:inline>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24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24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yOGZmZWJiZjkzMTc5MjUxM2FlYjUzNmFjOTJhZmYifQ=="/>
    <w:docVar w:name="KSO_WPS_MARK_KEY" w:val="41ee2a61-2d54-4f93-83be-afdb9a40d732"/>
  </w:docVars>
  <w:rsids>
    <w:rsidRoot w:val="00746046"/>
    <w:rsid w:val="000241E4"/>
    <w:rsid w:val="00056358"/>
    <w:rsid w:val="00092F5B"/>
    <w:rsid w:val="000F1F0D"/>
    <w:rsid w:val="00114FC8"/>
    <w:rsid w:val="001B6607"/>
    <w:rsid w:val="001C05C3"/>
    <w:rsid w:val="00213C59"/>
    <w:rsid w:val="002C6CE7"/>
    <w:rsid w:val="003210CE"/>
    <w:rsid w:val="00383AE0"/>
    <w:rsid w:val="003C6F90"/>
    <w:rsid w:val="004123CE"/>
    <w:rsid w:val="004530C7"/>
    <w:rsid w:val="0046340E"/>
    <w:rsid w:val="00593764"/>
    <w:rsid w:val="00677C68"/>
    <w:rsid w:val="006A6974"/>
    <w:rsid w:val="00701B46"/>
    <w:rsid w:val="00746046"/>
    <w:rsid w:val="007A7C9F"/>
    <w:rsid w:val="00833DDA"/>
    <w:rsid w:val="008459BB"/>
    <w:rsid w:val="00922EEB"/>
    <w:rsid w:val="00987E08"/>
    <w:rsid w:val="009A4D4A"/>
    <w:rsid w:val="00AA1E22"/>
    <w:rsid w:val="00AC24EF"/>
    <w:rsid w:val="00B70D59"/>
    <w:rsid w:val="00B7723A"/>
    <w:rsid w:val="00BC543F"/>
    <w:rsid w:val="00E13C4E"/>
    <w:rsid w:val="00E270EE"/>
    <w:rsid w:val="00E60215"/>
    <w:rsid w:val="00ED4568"/>
    <w:rsid w:val="00F52A8D"/>
    <w:rsid w:val="00FA7B91"/>
    <w:rsid w:val="00FE430D"/>
    <w:rsid w:val="00FF0635"/>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642C8A"/>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1A2A98"/>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5D544A"/>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emf"/><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1001</Words>
  <Characters>5708</Characters>
  <Lines>47</Lines>
  <Paragraphs>13</Paragraphs>
  <TotalTime>3</TotalTime>
  <ScaleCrop>false</ScaleCrop>
  <LinksUpToDate>false</LinksUpToDate>
  <CharactersWithSpaces>6696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2024-08-14T03:00:00Z</dcterms:created>
  <dc:creator>GXR</dc:creator>
  <cp:lastModifiedBy>Administrator</cp:lastModifiedBy>
  <dcterms:modified xsi:type="dcterms:W3CDTF">2024-11-18T12:25:25Z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