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中国共产主义青年团库尔勒市委员会</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2023年度</w:t>
      </w:r>
      <w:r>
        <w:rPr>
          <w:rFonts w:hint="eastAsia" w:ascii="方正小标宋_GBK" w:hAnsi="宋体" w:eastAsia="方正小标宋_GBK"/>
          <w:color w:val="auto"/>
          <w:sz w:val="44"/>
          <w:szCs w:val="44"/>
          <w:highlight w:val="none"/>
        </w:rPr>
        <w:t>部门决算</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val="en-US" w:eastAsia="zh-CN"/>
        </w:rPr>
        <w:t>部门</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24028"/>
      <w:bookmarkStart w:id="1" w:name="_Toc32314"/>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val="en-US" w:eastAsia="zh-CN"/>
        </w:rPr>
        <w:t>部门</w:t>
      </w:r>
      <w:r>
        <w:rPr>
          <w:rFonts w:hint="eastAsia" w:ascii="黑体" w:hAnsi="黑体" w:eastAsia="黑体"/>
          <w:color w:val="auto"/>
          <w:sz w:val="32"/>
          <w:szCs w:val="32"/>
          <w:highlight w:val="none"/>
        </w:rPr>
        <w:t>概况</w:t>
      </w:r>
      <w:bookmarkEnd w:id="0"/>
      <w:bookmarkEnd w:id="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738"/>
      <w:bookmarkStart w:id="3" w:name="_Toc30567"/>
      <w:r>
        <w:rPr>
          <w:rFonts w:hint="eastAsia" w:ascii="黑体" w:hAnsi="黑体" w:eastAsia="黑体" w:cs="宋体"/>
          <w:bCs/>
          <w:color w:val="auto"/>
          <w:kern w:val="0"/>
          <w:sz w:val="32"/>
          <w:szCs w:val="32"/>
          <w:highlight w:val="none"/>
        </w:rPr>
        <w:t>一、主要职能</w:t>
      </w:r>
      <w:bookmarkEnd w:id="2"/>
      <w:bookmarkEnd w:id="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中国共产主义青年团是中国共产党领导的先进青年的群团组织，是广大青年在实践中学习中国特色社会主义和共产主义的学校，是党的助手和后备军。共青团库尔勒市委员会是全市共青团组织的领导机关，负责制定全市共青团组织的工作发展规划，指导、检查、督促基层团组织的工作及团干部队伍、团员队伍建设。团市委的主要职责是：</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1）组织青年学习马克思列宁主义、毛泽东思想、邓小平理论、“三个代表”重要思想、科学发展观、习近平新时代中国特色社会主义思想，广泛开展党的基本路线教育，爱国主义、集体主义和社会主义思想教育，社会主义核心价值观教育，中华优秀传统文化、革命文化、社会主义先进文化教育，近代史、现代史教育和国情教育，民主和法治教育，努力帮助青年学习现代科学文化知识，不断提高青年的思想道德素质和科学文化素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（2）发挥生力军和突击队作用，组织青年参加改革开放和社会主义现代化建设的实践，掌握和运用先进的科学技术，学习和适应现代管理方式，诚实劳动，勇于创新。</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3）贯彻党管青年原则，充分发挥党联系青年的桥梁和纽带作用，为党做好青年群众工作。协助党和政府管理青年事务，协调督促青年发展规划落实，承担适合承担的公共职能，服务国家治理体系和治理能力现代化。承担维护国家和人民利益的责任；负责代表和维护青年的具体利益。</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4）调查研究本市青少年生存发展和青少年工作状况；参与制定实施本市青少年工作和青少年事业发展规划；参与制定并实施本市有关青年和青年工作的政策；配合政府有关部门处理、协调和督办与本市青少年权益相关的事务；积极发挥共青团在政府和社会事务管理中的民主参与、民主监督作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5）开展青年统战工作，建立广泛的青年爱国统一战线，做好青年统战对象的团结、教育工作，维护、促进祖国统和民族团结；会同本市有关部门做好青少年外事工作，建立、发展同世界各国青少年的联系，促进国际交流与合作。</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（6）承办市委交办的其他事项。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4" w:name="_Toc31238"/>
      <w:bookmarkStart w:id="5" w:name="_Toc2151"/>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b/>
          <w:color w:val="auto"/>
          <w:sz w:val="32"/>
          <w:szCs w:val="32"/>
          <w:highlight w:val="none"/>
        </w:rPr>
      </w:pPr>
      <w:r>
        <w:rPr>
          <w:rFonts w:hint="eastAsia" w:ascii="仿宋_GB2312" w:eastAsia="仿宋_GB2312"/>
          <w:color w:val="auto"/>
          <w:sz w:val="32"/>
          <w:szCs w:val="32"/>
          <w:highlight w:val="none"/>
          <w:lang w:val="en-US" w:eastAsia="zh-CN"/>
        </w:rPr>
        <w:t>中国共产主义青年团库尔勒市委员会</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9</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9</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hAnsi="宋体" w:eastAsia="仿宋_GB2312" w:cs="宋体"/>
          <w:color w:val="auto"/>
          <w:kern w:val="0"/>
          <w:sz w:val="32"/>
          <w:szCs w:val="32"/>
          <w:highlight w:val="yellow"/>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hAnsi="黑体" w:eastAsia="仿宋_GB2312" w:cs="宋体"/>
          <w:bCs/>
          <w:color w:val="auto"/>
          <w:kern w:val="0"/>
          <w:sz w:val="32"/>
          <w:szCs w:val="32"/>
          <w:highlight w:val="none"/>
        </w:rPr>
        <w:t>单位无下属预算单位，下设</w:t>
      </w:r>
      <w:r>
        <w:rPr>
          <w:rFonts w:hint="eastAsia" w:ascii="仿宋_GB2312" w:eastAsia="仿宋_GB2312"/>
          <w:color w:val="auto"/>
          <w:sz w:val="32"/>
          <w:szCs w:val="32"/>
          <w:highlight w:val="none"/>
          <w:lang w:val="en-US" w:eastAsia="zh-CN"/>
        </w:rPr>
        <w:t>3</w:t>
      </w:r>
      <w:r>
        <w:rPr>
          <w:rFonts w:hint="eastAsia" w:ascii="仿宋_GB2312" w:hAnsi="黑体" w:eastAsia="仿宋_GB2312" w:cs="宋体"/>
          <w:bCs/>
          <w:color w:val="auto"/>
          <w:kern w:val="0"/>
          <w:sz w:val="32"/>
          <w:szCs w:val="32"/>
          <w:highlight w:val="none"/>
        </w:rPr>
        <w:t>个处室，分别是：</w:t>
      </w:r>
      <w:r>
        <w:rPr>
          <w:rFonts w:hint="eastAsia" w:ascii="仿宋_GB2312" w:hAnsi="宋体" w:eastAsia="仿宋_GB2312" w:cs="宋体"/>
          <w:color w:val="auto"/>
          <w:kern w:val="0"/>
          <w:sz w:val="32"/>
          <w:szCs w:val="32"/>
          <w:highlight w:val="none"/>
        </w:rPr>
        <w:t>少先队库尔勒市工作委员会，青少年营地筹建办公室，团校。</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6" w:name="_Toc29374"/>
      <w:bookmarkStart w:id="7" w:name="_Toc3092"/>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12566"/>
      <w:bookmarkStart w:id="9" w:name="_Toc25314"/>
      <w:r>
        <w:rPr>
          <w:rFonts w:hint="eastAsia" w:ascii="黑体" w:hAnsi="黑体" w:eastAsia="黑体" w:cs="宋体"/>
          <w:bCs/>
          <w:color w:val="auto"/>
          <w:kern w:val="0"/>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943.10万元，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943.10万元，使用非财政拨款结余0.00万元，年初结转和结余0.00万元。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943.10万元，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943.10万元，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增加151.10万元</w:t>
      </w:r>
      <w:r>
        <w:rPr>
          <w:rFonts w:hint="eastAsia" w:ascii="仿宋_GB2312" w:eastAsia="仿宋_GB2312"/>
          <w:color w:val="auto"/>
          <w:spacing w:val="0"/>
          <w:sz w:val="32"/>
          <w:szCs w:val="32"/>
          <w:highlight w:val="none"/>
          <w:lang w:eastAsia="zh-CN"/>
        </w:rPr>
        <w:t>，增长19.08%，主要原因是：本年度西部计划项目大学生志愿者人数增加，相应的财政拨款收入</w:t>
      </w:r>
      <w:r>
        <w:rPr>
          <w:rFonts w:hint="eastAsia" w:ascii="仿宋_GB2312" w:eastAsia="仿宋_GB2312"/>
          <w:color w:val="auto"/>
          <w:spacing w:val="0"/>
          <w:sz w:val="32"/>
          <w:szCs w:val="32"/>
          <w:highlight w:val="none"/>
          <w:lang w:val="en-US" w:eastAsia="zh-CN"/>
        </w:rPr>
        <w:t>支出</w:t>
      </w:r>
      <w:r>
        <w:rPr>
          <w:rFonts w:hint="eastAsia" w:ascii="仿宋_GB2312" w:eastAsia="仿宋_GB2312"/>
          <w:color w:val="auto"/>
          <w:spacing w:val="0"/>
          <w:sz w:val="32"/>
          <w:szCs w:val="32"/>
          <w:highlight w:val="none"/>
          <w:lang w:eastAsia="zh-CN"/>
        </w:rPr>
        <w:t>增加。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2142"/>
      <w:bookmarkStart w:id="11" w:name="_Toc1979"/>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943.10</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917.55</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97.29</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25.55</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2.71</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27961"/>
      <w:bookmarkStart w:id="13" w:name="_Toc13201"/>
      <w:r>
        <w:rPr>
          <w:rFonts w:hint="eastAsia" w:ascii="黑体" w:hAnsi="黑体" w:eastAsia="黑体" w:cs="宋体"/>
          <w:bCs/>
          <w:color w:val="auto"/>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仿宋_GB2312"/>
          <w:color w:val="auto"/>
          <w:sz w:val="30"/>
          <w:szCs w:val="30"/>
          <w:highlight w:val="none"/>
          <w:lang w:val="zh-CN" w:eastAsia="zh-CN"/>
        </w:rPr>
      </w:pPr>
      <w:r>
        <w:rPr>
          <w:rFonts w:hint="eastAsia" w:ascii="Times New Roman" w:hAnsi="Times New Roman" w:eastAsia="仿宋_GB2312" w:cs="仿宋_GB2312"/>
          <w:color w:val="auto"/>
          <w:sz w:val="32"/>
          <w:szCs w:val="32"/>
          <w:highlight w:val="none"/>
          <w:lang w:val="zh-CN" w:eastAsia="zh-CN"/>
        </w:rPr>
        <w:t>本年支出943.10万元，其中：基本支出716.33万元，占75.96%；项目支出226.77万元，占24.04%；上缴上级支出0.00万元，占0.00%；经营支出0.00万元，占0.00%；对附属单位补助支出0.00万元，占0.00%。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26564"/>
      <w:bookmarkStart w:id="15" w:name="_Toc4393"/>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917.55</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917.55</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917.55</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917.55</w:t>
      </w:r>
      <w:r>
        <w:rPr>
          <w:rFonts w:hint="eastAsia" w:ascii="仿宋_GB2312" w:eastAsia="仿宋_GB2312"/>
          <w:color w:val="auto"/>
          <w:spacing w:val="0"/>
          <w:sz w:val="32"/>
          <w:szCs w:val="32"/>
          <w:highlight w:val="none"/>
          <w:lang w:eastAsia="zh-CN"/>
        </w:rPr>
        <w:t>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增加155.90万元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增长20.47%,</w:t>
      </w:r>
      <w:r>
        <w:rPr>
          <w:rFonts w:hint="eastAsia" w:ascii="仿宋_GB2312" w:eastAsia="仿宋_GB2312"/>
          <w:color w:val="auto"/>
          <w:spacing w:val="0"/>
          <w:sz w:val="32"/>
          <w:szCs w:val="32"/>
          <w:highlight w:val="none"/>
          <w:lang w:eastAsia="zh-CN"/>
        </w:rPr>
        <w:t>主要原因是：本年度西部计划项目大学生志愿者人数增加，相应的财政拨款收入增加。与年初预算相比，年初预算数</w:t>
      </w:r>
      <w:r>
        <w:rPr>
          <w:rFonts w:hint="eastAsia" w:ascii="仿宋_GB2312" w:eastAsia="仿宋_GB2312"/>
          <w:color w:val="auto"/>
          <w:spacing w:val="0"/>
          <w:sz w:val="32"/>
          <w:szCs w:val="32"/>
          <w:highlight w:val="none"/>
          <w:lang w:val="zh-CN" w:eastAsia="zh-CN"/>
        </w:rPr>
        <w:t>945.52</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917.55</w:t>
      </w:r>
      <w:r>
        <w:rPr>
          <w:rFonts w:hint="eastAsia" w:ascii="仿宋_GB2312" w:eastAsia="仿宋_GB2312"/>
          <w:color w:val="auto"/>
          <w:spacing w:val="0"/>
          <w:sz w:val="32"/>
          <w:szCs w:val="32"/>
          <w:highlight w:val="none"/>
          <w:lang w:eastAsia="zh-CN"/>
        </w:rPr>
        <w:t>万元，预决算差异率-2.96%，主要原因是：厉行节约，精简其他各项办公支出。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13833"/>
      <w:bookmarkStart w:id="17" w:name="_Toc20360"/>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2023年度一般公共预算财政拨款支出917.55万元，占本年支出合计的</w:t>
      </w:r>
      <w:r>
        <w:rPr>
          <w:rFonts w:hint="eastAsia" w:ascii="仿宋_GB2312" w:eastAsia="仿宋_GB2312"/>
          <w:color w:val="auto"/>
          <w:spacing w:val="0"/>
          <w:sz w:val="32"/>
          <w:szCs w:val="32"/>
          <w:highlight w:val="none"/>
          <w:lang w:val="zh-CN" w:eastAsia="zh-CN"/>
        </w:rPr>
        <w:t>97.29%</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增加155.90万元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增长20.47%,</w:t>
      </w:r>
      <w:r>
        <w:rPr>
          <w:rFonts w:hint="eastAsia" w:ascii="仿宋_GB2312" w:eastAsia="仿宋_GB2312"/>
          <w:color w:val="auto"/>
          <w:spacing w:val="0"/>
          <w:sz w:val="32"/>
          <w:szCs w:val="32"/>
          <w:highlight w:val="none"/>
          <w:lang w:eastAsia="zh-CN"/>
        </w:rPr>
        <w:t>主要原因是：本年度西部计划项目大学生志愿者人数增加，相应的财政拨款收入增加。与年初预算相比，年初预算数</w:t>
      </w:r>
      <w:r>
        <w:rPr>
          <w:rFonts w:hint="eastAsia" w:ascii="仿宋_GB2312" w:eastAsia="仿宋_GB2312"/>
          <w:color w:val="auto"/>
          <w:spacing w:val="0"/>
          <w:sz w:val="32"/>
          <w:szCs w:val="32"/>
          <w:highlight w:val="none"/>
          <w:lang w:val="zh-CN" w:eastAsia="zh-CN"/>
        </w:rPr>
        <w:t>945.52</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917.55</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-2.96%</w:t>
      </w:r>
      <w:r>
        <w:rPr>
          <w:rFonts w:hint="eastAsia" w:ascii="仿宋_GB2312" w:eastAsia="仿宋_GB2312"/>
          <w:color w:val="auto"/>
          <w:spacing w:val="0"/>
          <w:sz w:val="32"/>
          <w:szCs w:val="32"/>
          <w:highlight w:val="none"/>
          <w:lang w:eastAsia="zh-CN"/>
        </w:rPr>
        <w:t>，主要原因是：厉行节约，精简其他各项办公支出。</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default" w:ascii="仿宋_GB2312" w:hAnsi="Times New Roman" w:eastAsia="仿宋_GB2312" w:cs="Times New Roman"/>
          <w:color w:val="auto"/>
          <w:spacing w:val="0"/>
          <w:kern w:val="2"/>
          <w:sz w:val="32"/>
          <w:szCs w:val="32"/>
          <w:lang w:val="zh-CN" w:eastAsia="zh-CN" w:bidi="ar-SA"/>
        </w:rPr>
        <w:t>1.</w:t>
      </w:r>
      <w:r>
        <w:rPr>
          <w:rFonts w:hint="default" w:ascii="仿宋_GB2312" w:hAnsi="Times New Roman" w:eastAsia="仿宋_GB2312" w:cs="Times New Roman"/>
          <w:color w:val="auto"/>
          <w:spacing w:val="0"/>
          <w:kern w:val="2"/>
          <w:sz w:val="32"/>
          <w:szCs w:val="32"/>
          <w:highlight w:val="none"/>
          <w:lang w:val="zh-CN" w:eastAsia="zh-CN" w:bidi="ar-SA"/>
        </w:rPr>
        <w:t>一般公共服务支出（类）</w:t>
      </w:r>
      <w:r>
        <w:rPr>
          <w:rFonts w:hint="eastAsia" w:ascii="仿宋_GB2312" w:hAnsi="Times New Roman" w:eastAsia="仿宋_GB2312" w:cs="Times New Roman"/>
          <w:color w:val="auto"/>
          <w:spacing w:val="0"/>
          <w:kern w:val="2"/>
          <w:sz w:val="32"/>
          <w:szCs w:val="32"/>
          <w:highlight w:val="none"/>
          <w:lang w:val="zh-CN" w:eastAsia="zh-CN" w:bidi="ar-SA"/>
        </w:rPr>
        <w:t>891.23</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97.13</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2</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教育支出（类）</w:t>
      </w:r>
      <w:r>
        <w:rPr>
          <w:rFonts w:hint="eastAsia" w:ascii="仿宋_GB2312" w:hAnsi="Times New Roman" w:eastAsia="仿宋_GB2312" w:cs="Times New Roman"/>
          <w:color w:val="auto"/>
          <w:spacing w:val="0"/>
          <w:kern w:val="2"/>
          <w:sz w:val="32"/>
          <w:szCs w:val="32"/>
          <w:highlight w:val="none"/>
          <w:lang w:val="zh-CN" w:eastAsia="zh-CN" w:bidi="ar-SA"/>
        </w:rPr>
        <w:t>0.36</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0.04</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3</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10.55</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1.15</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4</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6.67</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0.73</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5</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8.74</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0.95</w:t>
      </w:r>
      <w:r>
        <w:rPr>
          <w:rFonts w:hint="default" w:ascii="仿宋_GB2312" w:hAnsi="Times New Roman" w:eastAsia="仿宋_GB2312" w:cs="Times New Roman"/>
          <w:color w:val="auto"/>
          <w:spacing w:val="0"/>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yellow"/>
          <w:lang w:val="zh-CN" w:eastAsia="zh-CN" w:bidi="ar-SA"/>
        </w:rPr>
      </w:pPr>
      <w:r>
        <w:rPr>
          <w:rFonts w:hint="eastAsia" w:eastAsia="仿宋_GB2312" w:cs="Times New Roman"/>
          <w:color w:val="auto"/>
          <w:kern w:val="2"/>
          <w:sz w:val="32"/>
          <w:szCs w:val="32"/>
          <w:highlight w:val="none"/>
          <w:lang w:val="en-US" w:eastAsia="zh-CN" w:bidi="ar-SA"/>
        </w:rPr>
        <w:t>1</w:t>
      </w:r>
      <w:r>
        <w:rPr>
          <w:rFonts w:hint="eastAsia" w:ascii="Times New Roman" w:hAnsi="Times New Roman" w:eastAsia="仿宋_GB2312" w:cs="Times New Roman"/>
          <w:color w:val="auto"/>
          <w:kern w:val="2"/>
          <w:sz w:val="32"/>
          <w:szCs w:val="32"/>
          <w:highlight w:val="none"/>
          <w:lang w:val="en-US" w:eastAsia="zh-CN" w:bidi="ar-SA"/>
        </w:rPr>
        <w:t>.一般公共服务支出（类）群众团体事务（款）行政运行（项）:支出决算数为90.60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396.24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81.39%，主要原因是：</w:t>
      </w:r>
      <w:r>
        <w:rPr>
          <w:rFonts w:hint="eastAsia" w:ascii="Times New Roman" w:hAnsi="Times New Roman" w:eastAsia="仿宋_GB2312" w:cs="Times New Roman"/>
          <w:color w:val="auto"/>
          <w:kern w:val="2"/>
          <w:sz w:val="32"/>
          <w:szCs w:val="32"/>
          <w:highlight w:val="none"/>
          <w:lang w:val="zh-CN" w:eastAsia="zh-CN" w:bidi="ar-SA"/>
        </w:rPr>
        <w:t>大学生志愿者的社保及生活补贴有部分是本级财政承担，</w:t>
      </w:r>
      <w:r>
        <w:rPr>
          <w:rFonts w:hint="eastAsia" w:ascii="Times New Roman" w:hAnsi="Times New Roman" w:eastAsia="仿宋_GB2312" w:cs="Times New Roman"/>
          <w:color w:val="auto"/>
          <w:kern w:val="2"/>
          <w:sz w:val="32"/>
          <w:szCs w:val="32"/>
          <w:highlight w:val="none"/>
          <w:lang w:val="en-US" w:eastAsia="zh-CN" w:bidi="ar-SA"/>
        </w:rPr>
        <w:t>上年度</w:t>
      </w:r>
      <w:r>
        <w:rPr>
          <w:rFonts w:hint="eastAsia" w:ascii="Times New Roman" w:hAnsi="Times New Roman" w:eastAsia="仿宋_GB2312" w:cs="Times New Roman"/>
          <w:color w:val="auto"/>
          <w:kern w:val="2"/>
          <w:sz w:val="32"/>
          <w:szCs w:val="32"/>
          <w:highlight w:val="none"/>
          <w:lang w:val="zh-CN" w:eastAsia="zh-CN" w:bidi="ar-SA"/>
        </w:rPr>
        <w:t>纳入了</w:t>
      </w:r>
      <w:r>
        <w:rPr>
          <w:rFonts w:hint="eastAsia" w:eastAsia="仿宋_GB2312" w:cs="Times New Roman"/>
          <w:color w:val="auto"/>
          <w:kern w:val="2"/>
          <w:sz w:val="32"/>
          <w:szCs w:val="32"/>
          <w:highlight w:val="none"/>
          <w:lang w:val="en-US" w:eastAsia="zh-CN" w:bidi="ar-SA"/>
        </w:rPr>
        <w:t>本科目，</w:t>
      </w:r>
      <w:r>
        <w:rPr>
          <w:rFonts w:hint="eastAsia" w:ascii="Times New Roman" w:hAnsi="Times New Roman" w:eastAsia="仿宋_GB2312" w:cs="Times New Roman"/>
          <w:color w:val="auto"/>
          <w:kern w:val="2"/>
          <w:sz w:val="32"/>
          <w:szCs w:val="32"/>
          <w:highlight w:val="none"/>
          <w:lang w:val="en-US" w:eastAsia="zh-CN" w:bidi="ar-SA"/>
        </w:rPr>
        <w:t>本年纳入其他群众团体事务支出科目</w:t>
      </w:r>
      <w:r>
        <w:rPr>
          <w:rFonts w:hint="eastAsia" w:ascii="Times New Roman" w:hAnsi="Times New Roman"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2</w:t>
      </w:r>
      <w:r>
        <w:rPr>
          <w:rFonts w:hint="eastAsia" w:ascii="Times New Roman" w:hAnsi="Times New Roman" w:eastAsia="仿宋_GB2312" w:cs="Times New Roman"/>
          <w:color w:val="auto"/>
          <w:kern w:val="2"/>
          <w:sz w:val="32"/>
          <w:szCs w:val="32"/>
          <w:highlight w:val="none"/>
          <w:lang w:val="en-US" w:eastAsia="zh-CN" w:bidi="ar-SA"/>
        </w:rPr>
        <w:t>.一般公共服务支出（类）群众团体事务（款）其他群众团体事务支出（项）:支出决算数为800.63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796.14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177</w:t>
      </w:r>
      <w:r>
        <w:rPr>
          <w:rFonts w:hint="eastAsia" w:eastAsia="仿宋_GB2312" w:cs="Times New Roman"/>
          <w:color w:val="auto"/>
          <w:kern w:val="2"/>
          <w:sz w:val="32"/>
          <w:szCs w:val="32"/>
          <w:highlight w:val="none"/>
          <w:lang w:val="en-US" w:eastAsia="zh-CN" w:bidi="ar-SA"/>
        </w:rPr>
        <w:t>31.40</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ascii="Times New Roman" w:hAnsi="Times New Roman" w:eastAsia="仿宋_GB2312" w:cs="Times New Roman"/>
          <w:color w:val="auto"/>
          <w:kern w:val="2"/>
          <w:sz w:val="32"/>
          <w:szCs w:val="32"/>
          <w:highlight w:val="none"/>
          <w:lang w:val="zh-CN" w:eastAsia="zh-CN" w:bidi="ar-SA"/>
        </w:rPr>
        <w:t>大学生志愿者的社保及生活补贴有部分是本级财政承担，</w:t>
      </w:r>
      <w:r>
        <w:rPr>
          <w:rFonts w:hint="eastAsia" w:ascii="Times New Roman" w:hAnsi="Times New Roman" w:eastAsia="仿宋_GB2312" w:cs="Times New Roman"/>
          <w:color w:val="auto"/>
          <w:kern w:val="2"/>
          <w:sz w:val="32"/>
          <w:szCs w:val="32"/>
          <w:highlight w:val="none"/>
          <w:lang w:val="en-US" w:eastAsia="zh-CN" w:bidi="ar-SA"/>
        </w:rPr>
        <w:t>上年度</w:t>
      </w:r>
      <w:r>
        <w:rPr>
          <w:rFonts w:hint="eastAsia" w:ascii="Times New Roman" w:hAnsi="Times New Roman" w:eastAsia="仿宋_GB2312" w:cs="Times New Roman"/>
          <w:color w:val="auto"/>
          <w:kern w:val="2"/>
          <w:sz w:val="32"/>
          <w:szCs w:val="32"/>
          <w:highlight w:val="none"/>
          <w:lang w:val="zh-CN" w:eastAsia="zh-CN" w:bidi="ar-SA"/>
        </w:rPr>
        <w:t>纳入了行政运行</w:t>
      </w:r>
      <w:r>
        <w:rPr>
          <w:rFonts w:hint="eastAsia" w:eastAsia="仿宋_GB2312" w:cs="Times New Roman"/>
          <w:color w:val="auto"/>
          <w:kern w:val="2"/>
          <w:sz w:val="32"/>
          <w:szCs w:val="32"/>
          <w:highlight w:val="none"/>
          <w:lang w:val="en-US" w:eastAsia="zh-CN" w:bidi="ar-SA"/>
        </w:rPr>
        <w:t>科目，</w:t>
      </w:r>
      <w:r>
        <w:rPr>
          <w:rFonts w:hint="eastAsia" w:ascii="Times New Roman" w:hAnsi="Times New Roman" w:eastAsia="仿宋_GB2312" w:cs="Times New Roman"/>
          <w:color w:val="auto"/>
          <w:kern w:val="2"/>
          <w:sz w:val="32"/>
          <w:szCs w:val="32"/>
          <w:highlight w:val="none"/>
          <w:lang w:val="en-US" w:eastAsia="zh-CN" w:bidi="ar-SA"/>
        </w:rPr>
        <w:t>本年纳入本科目</w:t>
      </w:r>
      <w:r>
        <w:rPr>
          <w:rFonts w:hint="eastAsia" w:ascii="Times New Roman" w:hAnsi="Times New Roman"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3</w:t>
      </w:r>
      <w:r>
        <w:rPr>
          <w:rFonts w:hint="eastAsia" w:ascii="Times New Roman" w:hAnsi="Times New Roman" w:eastAsia="仿宋_GB2312" w:cs="Times New Roman"/>
          <w:color w:val="auto"/>
          <w:kern w:val="2"/>
          <w:sz w:val="32"/>
          <w:szCs w:val="32"/>
          <w:highlight w:val="none"/>
          <w:lang w:val="en-US" w:eastAsia="zh-CN" w:bidi="ar-SA"/>
        </w:rPr>
        <w:t>.教育支出（类）进修及培训（款）培训支出（项）:支出决算数为0.36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0.00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下降0.00</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ascii="Times New Roman" w:hAnsi="Times New Roman" w:eastAsia="仿宋_GB2312" w:cs="Times New Roman"/>
          <w:color w:val="auto"/>
          <w:kern w:val="2"/>
          <w:sz w:val="32"/>
          <w:szCs w:val="32"/>
          <w:highlight w:val="none"/>
          <w:lang w:val="zh-CN" w:eastAsia="zh-CN" w:bidi="ar-SA"/>
        </w:rPr>
        <w:t>单位严格落实内控制度，支出细化合理精简。</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4</w:t>
      </w:r>
      <w:r>
        <w:rPr>
          <w:rFonts w:hint="eastAsia" w:ascii="Times New Roman" w:hAnsi="Times New Roman" w:eastAsia="仿宋_GB2312" w:cs="Times New Roman"/>
          <w:color w:val="auto"/>
          <w:kern w:val="2"/>
          <w:sz w:val="32"/>
          <w:szCs w:val="32"/>
          <w:highlight w:val="none"/>
          <w:lang w:val="en-US" w:eastAsia="zh-CN" w:bidi="ar-SA"/>
        </w:rPr>
        <w:t>.社会保障和就业支出（类）行政事业单位养老支出（款）机关事业单位基本养老保险缴费支出（项）:支出决算数为10.55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0.17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1.5</w:t>
      </w:r>
      <w:r>
        <w:rPr>
          <w:rFonts w:hint="eastAsia" w:eastAsia="仿宋_GB2312" w:cs="Times New Roman"/>
          <w:color w:val="auto"/>
          <w:kern w:val="2"/>
          <w:sz w:val="32"/>
          <w:szCs w:val="32"/>
          <w:highlight w:val="none"/>
          <w:lang w:val="en-US" w:eastAsia="zh-CN" w:bidi="ar-SA"/>
        </w:rPr>
        <w:t>9</w:t>
      </w:r>
      <w:r>
        <w:rPr>
          <w:rFonts w:hint="eastAsia" w:ascii="Times New Roman" w:hAnsi="Times New Roman" w:eastAsia="仿宋_GB2312" w:cs="Times New Roman"/>
          <w:color w:val="auto"/>
          <w:kern w:val="2"/>
          <w:sz w:val="32"/>
          <w:szCs w:val="32"/>
          <w:highlight w:val="none"/>
          <w:lang w:val="en-US" w:eastAsia="zh-CN" w:bidi="ar-SA"/>
        </w:rPr>
        <w:t>%，主要原因是：本年年初减1少人(调出)，导致该</w:t>
      </w:r>
      <w:r>
        <w:rPr>
          <w:rFonts w:hint="eastAsia" w:eastAsia="仿宋_GB2312" w:cs="Times New Roman"/>
          <w:color w:val="auto"/>
          <w:kern w:val="2"/>
          <w:sz w:val="32"/>
          <w:szCs w:val="32"/>
          <w:highlight w:val="none"/>
          <w:lang w:val="en-US" w:eastAsia="zh-CN" w:bidi="ar-SA"/>
        </w:rPr>
        <w:t>支出</w:t>
      </w:r>
      <w:r>
        <w:rPr>
          <w:rFonts w:hint="eastAsia" w:ascii="Times New Roman" w:hAnsi="Times New Roman"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5</w:t>
      </w:r>
      <w:r>
        <w:rPr>
          <w:rFonts w:hint="eastAsia" w:ascii="Times New Roman" w:hAnsi="Times New Roman" w:eastAsia="仿宋_GB2312" w:cs="Times New Roman"/>
          <w:color w:val="auto"/>
          <w:kern w:val="2"/>
          <w:sz w:val="32"/>
          <w:szCs w:val="32"/>
          <w:highlight w:val="none"/>
          <w:lang w:val="en-US" w:eastAsia="zh-CN" w:bidi="ar-SA"/>
        </w:rPr>
        <w:t>.卫生健康支出（类）行政事业单位医疗（款）行政单位医疗（项）:支出决算数为5.22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0.70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15.</w:t>
      </w:r>
      <w:r>
        <w:rPr>
          <w:rFonts w:hint="eastAsia" w:eastAsia="仿宋_GB2312" w:cs="Times New Roman"/>
          <w:color w:val="auto"/>
          <w:kern w:val="2"/>
          <w:sz w:val="32"/>
          <w:szCs w:val="32"/>
          <w:highlight w:val="none"/>
          <w:lang w:val="en-US" w:eastAsia="zh-CN" w:bidi="ar-SA"/>
        </w:rPr>
        <w:t>49</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ascii="Times New Roman" w:hAnsi="Times New Roman" w:eastAsia="仿宋_GB2312" w:cs="Times New Roman"/>
          <w:color w:val="auto"/>
          <w:kern w:val="2"/>
          <w:sz w:val="32"/>
          <w:szCs w:val="32"/>
          <w:highlight w:val="none"/>
          <w:lang w:val="zh-CN" w:eastAsia="zh-CN" w:bidi="ar-SA"/>
        </w:rPr>
        <w:t>工资调标，社保缴费基数</w:t>
      </w:r>
    </w:p>
    <w:p>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zh-CN" w:eastAsia="zh-CN" w:bidi="ar-SA"/>
        </w:rPr>
        <w:t>增加，相应支出增加。</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6.</w:t>
      </w:r>
      <w:r>
        <w:rPr>
          <w:rFonts w:hint="eastAsia" w:ascii="Times New Roman" w:hAnsi="Times New Roman" w:eastAsia="仿宋_GB2312" w:cs="Times New Roman"/>
          <w:color w:val="auto"/>
          <w:kern w:val="2"/>
          <w:sz w:val="32"/>
          <w:szCs w:val="32"/>
          <w:highlight w:val="none"/>
          <w:lang w:val="en-US" w:eastAsia="zh-CN" w:bidi="ar-SA"/>
        </w:rPr>
        <w:t>卫生健康支出（类）行政事业单位医疗（款）公务员医疗补助（项）:支出决算数为1.46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0.05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3.</w:t>
      </w:r>
      <w:r>
        <w:rPr>
          <w:rFonts w:hint="eastAsia" w:eastAsia="仿宋_GB2312" w:cs="Times New Roman"/>
          <w:color w:val="auto"/>
          <w:kern w:val="2"/>
          <w:sz w:val="32"/>
          <w:szCs w:val="32"/>
          <w:highlight w:val="none"/>
          <w:lang w:val="en-US" w:eastAsia="zh-CN" w:bidi="ar-SA"/>
        </w:rPr>
        <w:t>55</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ascii="Times New Roman" w:hAnsi="Times New Roman" w:eastAsia="仿宋_GB2312" w:cs="Times New Roman"/>
          <w:color w:val="auto"/>
          <w:kern w:val="2"/>
          <w:sz w:val="32"/>
          <w:szCs w:val="32"/>
          <w:highlight w:val="none"/>
          <w:lang w:val="zh-CN" w:eastAsia="zh-CN" w:bidi="ar-SA"/>
        </w:rPr>
        <w:t>工资调标，社保缴费基数增加，相应支出增加。</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7</w:t>
      </w:r>
      <w:r>
        <w:rPr>
          <w:rFonts w:hint="eastAsia" w:ascii="Times New Roman" w:hAnsi="Times New Roman" w:eastAsia="仿宋_GB2312" w:cs="Times New Roman"/>
          <w:color w:val="auto"/>
          <w:kern w:val="2"/>
          <w:sz w:val="32"/>
          <w:szCs w:val="32"/>
          <w:highlight w:val="none"/>
          <w:lang w:val="en-US" w:eastAsia="zh-CN" w:bidi="ar-SA"/>
        </w:rPr>
        <w:t>.住房保障支出（类）住房改革支出（款）住房公积金（项）:支出决算数为8.74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0.66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8.1</w:t>
      </w:r>
      <w:r>
        <w:rPr>
          <w:rFonts w:hint="eastAsia" w:eastAsia="仿宋_GB2312" w:cs="Times New Roman"/>
          <w:color w:val="auto"/>
          <w:kern w:val="2"/>
          <w:sz w:val="32"/>
          <w:szCs w:val="32"/>
          <w:highlight w:val="none"/>
          <w:lang w:val="en-US" w:eastAsia="zh-CN" w:bidi="ar-SA"/>
        </w:rPr>
        <w:t>7</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ascii="Times New Roman" w:hAnsi="Times New Roman" w:eastAsia="仿宋_GB2312" w:cs="Times New Roman"/>
          <w:color w:val="auto"/>
          <w:kern w:val="2"/>
          <w:sz w:val="32"/>
          <w:szCs w:val="32"/>
          <w:highlight w:val="none"/>
          <w:lang w:val="zh-CN" w:eastAsia="zh-CN" w:bidi="ar-SA"/>
        </w:rPr>
        <w:t>工资调标，公积金缴费基数增加，相应支出增加</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8.一般公共服务支出（类）群众团体事务（款）一般行政管理事务（项）:支出决算数为0.00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245.23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100%，主要原因是：</w:t>
      </w:r>
      <w:r>
        <w:rPr>
          <w:rFonts w:hint="eastAsia" w:ascii="Times New Roman" w:hAnsi="Times New Roman" w:eastAsia="仿宋_GB2312" w:cs="Times New Roman"/>
          <w:color w:val="auto"/>
          <w:kern w:val="2"/>
          <w:sz w:val="32"/>
          <w:szCs w:val="32"/>
          <w:highlight w:val="none"/>
          <w:lang w:val="zh-CN" w:eastAsia="zh-CN" w:bidi="ar-SA"/>
        </w:rPr>
        <w:t>西部计划项目大学生志愿者社保及生活补贴上年度纳入了本科目，本年纳入其他群众团体事务支出科目</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716.33</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712.42</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基本工资、津贴补贴、奖金、机关事业单位基本养老保险缴费、职工基本医疗保险缴费、公务员医疗补助缴费、其他社会保障缴费、住房公积金、其他工资福利支出、生活补助。</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eastAsia="仿宋_GB2312"/>
          <w:color w:val="auto"/>
          <w:sz w:val="32"/>
          <w:szCs w:val="32"/>
          <w:highlight w:val="red"/>
          <w:lang w:val="en-US" w:eastAsia="zh-CN"/>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3.92</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办公费、咨询费、培训费、工会经费、公务用车运行维护费。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“三公”经费支出1.35万元，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增加1.35万元，</w:t>
      </w:r>
      <w:r>
        <w:rPr>
          <w:rFonts w:hint="eastAsia" w:ascii="仿宋_GB2312" w:eastAsia="仿宋_GB2312"/>
          <w:color w:val="auto"/>
          <w:spacing w:val="0"/>
          <w:sz w:val="32"/>
          <w:szCs w:val="32"/>
          <w:highlight w:val="none"/>
          <w:lang w:val="en-US" w:eastAsia="zh-CN"/>
        </w:rPr>
        <w:t>增长100.00%,</w:t>
      </w:r>
      <w:r>
        <w:rPr>
          <w:rFonts w:hint="eastAsia" w:ascii="仿宋_GB2312" w:eastAsia="仿宋_GB2312"/>
          <w:color w:val="auto"/>
          <w:sz w:val="32"/>
          <w:szCs w:val="32"/>
          <w:highlight w:val="none"/>
          <w:lang w:val="zh-CN" w:eastAsia="zh-CN"/>
        </w:rPr>
        <w:t>主要原因是：受疫情影响，我单位 2022 年无“三公”经费支出。其中：因公出国（境）费支出0.00万元，占0.00%，比上年增加0.00万元，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主要原因是：我单位无因公出国（境）费；公务用车购置及运行维护费支出1.35万元，占100.00%，比上年增加1.35万元，</w:t>
      </w:r>
      <w:r>
        <w:rPr>
          <w:rFonts w:hint="eastAsia" w:ascii="仿宋_GB2312" w:eastAsia="仿宋_GB2312"/>
          <w:color w:val="auto"/>
          <w:spacing w:val="0"/>
          <w:sz w:val="32"/>
          <w:szCs w:val="32"/>
          <w:highlight w:val="none"/>
          <w:lang w:val="en-US" w:eastAsia="zh-CN"/>
        </w:rPr>
        <w:t>增长100.00%,</w:t>
      </w:r>
      <w:r>
        <w:rPr>
          <w:rFonts w:hint="eastAsia" w:ascii="仿宋_GB2312" w:eastAsia="仿宋_GB2312"/>
          <w:color w:val="auto"/>
          <w:sz w:val="32"/>
          <w:szCs w:val="32"/>
          <w:highlight w:val="none"/>
          <w:lang w:val="zh-CN" w:eastAsia="zh-CN"/>
        </w:rPr>
        <w:t>主要原因是：受疫情影响，我单位 2022 年无“三公”经费支出；公务接待费支出0.00万元，占0.00%，比上年增加0.00万元，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主要原因是：我单位无公务接待费。</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因公出国（境）费支出0.00万元，开支内容包括本年度未安排因公出国（境）费支出，无开支内容。单位全年安排的因公出国（境）团组0个，因公出国（境）0人次。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1.35万元，其中：公务用车购置费0.00万元，公务用车运行维护费1.35万元。公务用车运行维护费开支内容包括车辆保险、燃油费、维修费等。公务用车购置数0辆，公务用车保有量1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1辆，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原因是：国有资产占用情况中固定资产车辆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保有量一致，无差异</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公务接待费0.00万元，开支内容包括本年度未安排公务接待费支出，无开支内容。单位全年安排的国内公务接待0批次，0人次。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预算数1.35万元，决算数1.35万元，预决算差异率0.00%，主要原因是：严格控制三公经费，厉行节约。其中：因公出国（境）费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0.00万元，决算数0.00万元，预决算差异率0.00%，主要原因是：我单位无因公出国（境）费；公务用车购置费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预算数0.00万元，决算数0.00万元，预决算差异率0.00%，主要原因是：我单位无公务用车购置费；公务用车运行费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预算数1.35万元，决算数1.35万元，预决算差异率0.00%，主要原因是：严格控制三公经费，厉行节约；公务接待费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预算数0.00万元，决算数0.00万元，预决算差异率0.00%，主要原因是：我单位无公务接待费。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仿宋_GB2312" w:eastAsia="仿宋_GB2312"/>
          <w:color w:val="auto"/>
          <w:sz w:val="32"/>
          <w:szCs w:val="32"/>
          <w:highlight w:val="none"/>
          <w:lang w:eastAsia="zh-CN"/>
        </w:rPr>
      </w:pPr>
      <w:bookmarkStart w:id="18" w:name="_Toc5810"/>
      <w:bookmarkStart w:id="19" w:name="_Toc7927"/>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部门</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部门</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7314"/>
      <w:bookmarkStart w:id="21" w:name="_Toc12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3105"/>
      <w:bookmarkStart w:id="23" w:name="_Toc14519"/>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bookmarkStart w:id="24" w:name="_Toc227"/>
      <w:bookmarkStart w:id="25" w:name="_Toc26704"/>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en-US" w:eastAsia="zh-CN"/>
        </w:rPr>
        <w:t>中国共产主义青年团库尔勒市委员会（行政单位和参照公务员法管理事业单位）机关运行经费支出3.92万元，</w:t>
      </w:r>
      <w:r>
        <w:rPr>
          <w:rFonts w:hint="eastAsia" w:ascii="Times New Roman" w:hAnsi="Times New Roman" w:eastAsia="仿宋_GB2312" w:cs="Times New Roman"/>
          <w:color w:val="auto"/>
          <w:sz w:val="32"/>
          <w:szCs w:val="32"/>
          <w:highlight w:val="none"/>
          <w:lang w:val="zh-CN" w:eastAsia="zh-CN"/>
        </w:rPr>
        <w:t>比上年增加2.27万元，增长137.</w:t>
      </w:r>
      <w:r>
        <w:rPr>
          <w:rFonts w:hint="eastAsia" w:eastAsia="仿宋_GB2312" w:cs="Times New Roman"/>
          <w:color w:val="auto"/>
          <w:sz w:val="32"/>
          <w:szCs w:val="32"/>
          <w:highlight w:val="none"/>
          <w:lang w:val="en-US" w:eastAsia="zh-CN"/>
        </w:rPr>
        <w:t>5</w:t>
      </w:r>
      <w:r>
        <w:rPr>
          <w:rFonts w:hint="eastAsia" w:ascii="Times New Roman" w:hAnsi="Times New Roman" w:eastAsia="仿宋_GB2312" w:cs="Times New Roman"/>
          <w:color w:val="auto"/>
          <w:sz w:val="32"/>
          <w:szCs w:val="32"/>
          <w:highlight w:val="none"/>
          <w:lang w:val="zh-CN" w:eastAsia="zh-CN"/>
        </w:rPr>
        <w:t>8%，主要原因是：上年受疫情影响，未能及时支付完毕，在本年支付</w:t>
      </w:r>
      <w:r>
        <w:rPr>
          <w:rFonts w:hint="eastAsia" w:ascii="Times New Roman" w:hAnsi="Times New Roman" w:eastAsia="仿宋_GB2312" w:cs="Times New Roman"/>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rPr>
      </w:pPr>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zh-CN"/>
        </w:rPr>
        <w:t>政府采购支出总额</w:t>
      </w:r>
      <w:r>
        <w:rPr>
          <w:rFonts w:hint="eastAsia" w:ascii="Times New Roman" w:hAnsi="Times New Roman" w:eastAsia="仿宋_GB2312" w:cs="Times New Roman"/>
          <w:color w:val="auto"/>
          <w:sz w:val="32"/>
          <w:szCs w:val="32"/>
          <w:highlight w:val="none"/>
          <w:lang w:val="zh-CN" w:eastAsia="zh-CN"/>
        </w:rPr>
        <w:t>0.90万元</w:t>
      </w:r>
      <w:r>
        <w:rPr>
          <w:rFonts w:hint="eastAsia" w:ascii="Times New Roman" w:hAnsi="Times New Roman" w:eastAsia="仿宋_GB2312" w:cs="Times New Roman"/>
          <w:color w:val="auto"/>
          <w:sz w:val="32"/>
          <w:szCs w:val="32"/>
          <w:highlight w:val="none"/>
          <w:lang w:val="zh-CN"/>
        </w:rPr>
        <w:t>，</w:t>
      </w:r>
      <w:r>
        <w:rPr>
          <w:rFonts w:hint="eastAsia" w:ascii="Times New Roman" w:hAnsi="Times New Roman" w:eastAsia="仿宋_GB2312" w:cs="Times New Roman"/>
          <w:color w:val="auto"/>
          <w:sz w:val="32"/>
          <w:szCs w:val="32"/>
          <w:highlight w:val="none"/>
          <w:lang w:val="zh-CN" w:eastAsia="zh-CN"/>
        </w:rPr>
        <w:t>其中：政府采购货物支出0.00万元、政府采购工程支出0.00万元、政府采购服务支出0.90万元。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zh-CN" w:eastAsia="zh-CN"/>
        </w:rPr>
        <w:t>授予中小企业合同金额0.90万元，占政府采购支出总额的100.00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zh-CN" w:eastAsia="zh-CN"/>
        </w:rPr>
        <w:t>，其中：授予小微企业合同金额0.90万元，占政府采购支出总额的100.00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bookmarkStart w:id="26" w:name="_Toc4591"/>
      <w:bookmarkStart w:id="27" w:name="_Toc8391"/>
      <w:r>
        <w:rPr>
          <w:rFonts w:hint="eastAsia" w:ascii="Times New Roman" w:hAnsi="Times New Roman" w:eastAsia="黑体" w:cs="Times New Roman"/>
          <w:color w:val="auto"/>
          <w:sz w:val="32"/>
          <w:szCs w:val="30"/>
          <w:highlight w:val="none"/>
          <w:lang w:val="zh-CN" w:eastAsia="zh-CN"/>
        </w:rPr>
        <w:t>（三）国有资产占用情况说明</w:t>
      </w:r>
      <w:bookmarkEnd w:id="26"/>
      <w:bookmarkEnd w:id="2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en-US" w:eastAsia="zh-CN"/>
        </w:rPr>
        <w:t>截至2023</w:t>
      </w:r>
      <w:r>
        <w:rPr>
          <w:rFonts w:hint="eastAsia" w:ascii="Times New Roman" w:hAnsi="Times New Roman" w:eastAsia="仿宋_GB2312" w:cs="Times New Roman"/>
          <w:color w:val="auto"/>
          <w:sz w:val="32"/>
          <w:szCs w:val="32"/>
          <w:highlight w:val="none"/>
          <w:lang w:val="zh-CN" w:eastAsia="zh-CN"/>
        </w:rPr>
        <w:t>年</w:t>
      </w:r>
      <w:r>
        <w:rPr>
          <w:rFonts w:hint="eastAsia" w:ascii="Times New Roman" w:hAnsi="Times New Roman" w:eastAsia="仿宋_GB2312" w:cs="Times New Roman"/>
          <w:color w:val="auto"/>
          <w:sz w:val="32"/>
          <w:szCs w:val="32"/>
          <w:highlight w:val="none"/>
          <w:lang w:val="en-US" w:eastAsia="zh-CN"/>
        </w:rPr>
        <w:t>12月31日</w:t>
      </w:r>
      <w:r>
        <w:rPr>
          <w:rFonts w:hint="eastAsia"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固定资产原值</w:t>
      </w:r>
      <w:r>
        <w:rPr>
          <w:rFonts w:hint="eastAsia" w:ascii="Times New Roman" w:hAnsi="Times New Roman" w:eastAsia="仿宋_GB2312" w:cs="Times New Roman"/>
          <w:color w:val="auto"/>
          <w:sz w:val="32"/>
          <w:szCs w:val="32"/>
          <w:highlight w:val="none"/>
          <w:lang w:val="zh-CN" w:eastAsia="zh-CN"/>
        </w:rPr>
        <w:t>87.85</w:t>
      </w:r>
      <w:r>
        <w:rPr>
          <w:rFonts w:hint="eastAsia" w:ascii="Times New Roman" w:hAnsi="Times New Roman" w:eastAsia="仿宋_GB2312" w:cs="Times New Roman"/>
          <w:color w:val="auto"/>
          <w:sz w:val="32"/>
          <w:szCs w:val="32"/>
          <w:highlight w:val="none"/>
          <w:lang w:val="en-US" w:eastAsia="zh-CN"/>
        </w:rPr>
        <w:t>万元，房</w:t>
      </w:r>
      <w:r>
        <w:rPr>
          <w:rFonts w:hint="eastAsia" w:ascii="Times New Roman" w:hAnsi="Times New Roman" w:eastAsia="仿宋_GB2312" w:cs="Times New Roman"/>
          <w:color w:val="auto"/>
          <w:sz w:val="32"/>
          <w:szCs w:val="32"/>
          <w:highlight w:val="none"/>
          <w:lang w:val="zh-CN" w:eastAsia="zh-CN"/>
        </w:rPr>
        <w:t>屋600.00平方米，价值55.00万元。车辆1辆，价值11.16万元，其中：副部（省）级及以上领导用车0辆、主要</w:t>
      </w:r>
      <w:r>
        <w:rPr>
          <w:rFonts w:hint="eastAsia" w:ascii="Times New Roman" w:hAnsi="Times New Roman" w:eastAsia="仿宋_GB2312" w:cs="Times New Roman"/>
          <w:color w:val="auto"/>
          <w:sz w:val="32"/>
          <w:szCs w:val="32"/>
          <w:highlight w:val="none"/>
          <w:lang w:val="en-US" w:eastAsia="zh-CN"/>
        </w:rPr>
        <w:t>负责人</w:t>
      </w:r>
      <w:r>
        <w:rPr>
          <w:rFonts w:hint="eastAsia" w:ascii="Times New Roman" w:hAnsi="Times New Roman" w:eastAsia="仿宋_GB2312" w:cs="Times New Roman"/>
          <w:color w:val="auto"/>
          <w:sz w:val="32"/>
          <w:szCs w:val="32"/>
          <w:highlight w:val="none"/>
          <w:lang w:val="zh-CN" w:eastAsia="zh-CN"/>
        </w:rPr>
        <w:t>用车0辆、机要通信用车0辆、应急保障用车0辆、执法执勤用车0辆、特种专业技术用车0辆、离退休干部</w:t>
      </w:r>
      <w:r>
        <w:rPr>
          <w:rFonts w:hint="eastAsia" w:ascii="Times New Roman" w:hAnsi="Times New Roman" w:eastAsia="仿宋_GB2312" w:cs="Times New Roman"/>
          <w:color w:val="auto"/>
          <w:sz w:val="32"/>
          <w:szCs w:val="32"/>
          <w:highlight w:val="none"/>
          <w:lang w:val="en-US" w:eastAsia="zh-CN"/>
        </w:rPr>
        <w:t>服务</w:t>
      </w:r>
      <w:r>
        <w:rPr>
          <w:rFonts w:hint="eastAsia" w:ascii="Times New Roman" w:hAnsi="Times New Roman" w:eastAsia="仿宋_GB2312" w:cs="Times New Roman"/>
          <w:color w:val="auto"/>
          <w:sz w:val="32"/>
          <w:szCs w:val="32"/>
          <w:highlight w:val="none"/>
          <w:lang w:val="zh-CN" w:eastAsia="zh-CN"/>
        </w:rPr>
        <w:t>用车0辆、其他用车1辆，其他用车主要是：办公室及单位其他外出办事用车；单价100万元（含）以上设备（不含车辆）0</w:t>
      </w:r>
      <w:r>
        <w:rPr>
          <w:rFonts w:hint="eastAsia" w:ascii="Times New Roman" w:hAnsi="Times New Roman" w:eastAsia="仿宋_GB2312" w:cs="Times New Roman"/>
          <w:color w:val="auto"/>
          <w:sz w:val="32"/>
          <w:szCs w:val="32"/>
          <w:highlight w:val="none"/>
          <w:lang w:val="en-US" w:eastAsia="zh-CN"/>
        </w:rPr>
        <w:t>台（</w:t>
      </w:r>
      <w:r>
        <w:rPr>
          <w:rFonts w:hint="eastAsia" w:ascii="Times New Roman" w:hAnsi="Times New Roman" w:eastAsia="仿宋_GB2312" w:cs="Times New Roman"/>
          <w:color w:val="auto"/>
          <w:sz w:val="32"/>
          <w:szCs w:val="32"/>
          <w:highlight w:val="none"/>
          <w:lang w:val="zh-CN" w:eastAsia="zh-CN"/>
        </w:rPr>
        <w:t>套）。</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435"/>
      <w:bookmarkStart w:id="29" w:name="_Toc11283"/>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部门</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1</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color w:val="auto"/>
          <w:sz w:val="32"/>
          <w:szCs w:val="32"/>
          <w:highlight w:val="none"/>
          <w:lang w:val="en-US" w:eastAsia="zh-CN"/>
        </w:rPr>
        <w:t>预算总额943.1</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实际执行总额943.1</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2</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全年预算数208.29</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全年执行数201.22</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预算绩效管理取得的成效：一是通过加强预算收支管理、不断建立健全内部管理制度、梳理内部管理流程，部门整体支出管理情况得到提升；二是严格履行政府采购程序，规范政府采购行为，加强对政府采购全流程活动的规范管理，推动政府采购相关制度贯彻落实。发现的问题及原因：一是目前的预算管理在编制和实施中还存在编制不细、预算调整较多、追加预算比重较大等现象,因此项目预算执行的准确性还有待加强；二是经办机构存在工作经费紧缺，信息化建设滞后的情况。下一步改进措施：一是全面编制预算项目，优先保障固定的、相对刚性的费用支出项目；二是加强与财政部门的紧密配合,开展好整体支出及项目资金绩效管理工作,运用好绩效评价的结果,不断提升预算管理水平。具体</w:t>
      </w:r>
      <w:r>
        <w:rPr>
          <w:rFonts w:hint="eastAsia" w:ascii="仿宋_GB2312" w:eastAsia="仿宋_GB2312"/>
          <w:color w:val="auto"/>
          <w:sz w:val="32"/>
          <w:szCs w:val="32"/>
          <w:highlight w:val="none"/>
        </w:rPr>
        <w:t>项目自评情况附绩效自评表</w:t>
      </w:r>
      <w:r>
        <w:rPr>
          <w:rFonts w:hint="eastAsia" w:ascii="仿宋_GB2312" w:eastAsia="仿宋_GB2312"/>
          <w:color w:val="auto"/>
          <w:sz w:val="32"/>
          <w:szCs w:val="32"/>
          <w:highlight w:val="none"/>
          <w:lang w:val="en-US" w:eastAsia="zh-CN"/>
        </w:rPr>
        <w:t>及自评报告</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Hans"/>
        </w:rPr>
      </w:pP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本部门无其他需说明事项</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30" w:name="_Toc3250"/>
      <w:bookmarkStart w:id="31" w:name="_Toc24143"/>
      <w:r>
        <w:rPr>
          <w:rFonts w:hint="eastAsia" w:ascii="黑体" w:hAnsi="黑体" w:eastAsia="黑体"/>
          <w:color w:val="auto"/>
          <w:sz w:val="32"/>
          <w:szCs w:val="32"/>
          <w:highlight w:val="none"/>
        </w:rPr>
        <w:br w:type="page"/>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2183"/>
      <w:bookmarkStart w:id="33" w:name="_Toc6062"/>
      <w:r>
        <w:rPr>
          <w:rFonts w:hint="eastAsia" w:ascii="黑体" w:hAnsi="黑体" w:eastAsia="仿宋_GB2312" w:cs="宋体"/>
          <w:bCs/>
          <w:color w:val="auto"/>
          <w:kern w:val="0"/>
          <w:sz w:val="32"/>
          <w:szCs w:val="32"/>
          <w:highlight w:val="none"/>
        </w:rPr>
        <w:t>一、《收入支出决算总表》</w:t>
      </w:r>
      <w:bookmarkEnd w:id="32"/>
      <w:bookmarkEnd w:id="3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30364"/>
      <w:bookmarkStart w:id="35" w:name="_Toc24532"/>
      <w:r>
        <w:rPr>
          <w:rFonts w:hint="eastAsia" w:ascii="黑体" w:hAnsi="黑体" w:eastAsia="仿宋_GB2312" w:cs="宋体"/>
          <w:bCs/>
          <w:color w:val="auto"/>
          <w:kern w:val="0"/>
          <w:sz w:val="32"/>
          <w:szCs w:val="32"/>
          <w:highlight w:val="none"/>
        </w:rPr>
        <w:t>二、《收入决算表》</w:t>
      </w:r>
      <w:bookmarkEnd w:id="34"/>
      <w:bookmarkEnd w:id="3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21304"/>
      <w:bookmarkStart w:id="37" w:name="_Toc32434"/>
      <w:r>
        <w:rPr>
          <w:rFonts w:hint="eastAsia" w:ascii="黑体" w:hAnsi="黑体" w:eastAsia="仿宋_GB2312" w:cs="宋体"/>
          <w:bCs/>
          <w:color w:val="auto"/>
          <w:kern w:val="0"/>
          <w:sz w:val="32"/>
          <w:szCs w:val="32"/>
          <w:highlight w:val="none"/>
        </w:rPr>
        <w:t>三、《支出决算表》</w:t>
      </w:r>
      <w:bookmarkEnd w:id="36"/>
      <w:bookmarkEnd w:id="3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28786"/>
      <w:bookmarkStart w:id="39" w:name="_Toc14238"/>
      <w:r>
        <w:rPr>
          <w:rFonts w:hint="eastAsia" w:ascii="黑体" w:hAnsi="黑体" w:eastAsia="仿宋_GB2312" w:cs="宋体"/>
          <w:bCs/>
          <w:color w:val="auto"/>
          <w:kern w:val="0"/>
          <w:sz w:val="32"/>
          <w:szCs w:val="32"/>
          <w:highlight w:val="none"/>
        </w:rPr>
        <w:t>四、《财政拨款收入支出决算总表》</w:t>
      </w:r>
      <w:bookmarkEnd w:id="38"/>
      <w:bookmarkEnd w:id="3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4869"/>
      <w:bookmarkStart w:id="41" w:name="_Toc10347"/>
      <w:r>
        <w:rPr>
          <w:rFonts w:hint="eastAsia" w:ascii="黑体" w:hAnsi="黑体" w:eastAsia="仿宋_GB2312" w:cs="宋体"/>
          <w:bCs/>
          <w:color w:val="auto"/>
          <w:kern w:val="0"/>
          <w:sz w:val="32"/>
          <w:szCs w:val="32"/>
          <w:highlight w:val="none"/>
        </w:rPr>
        <w:t>五、《一般公共预算财政拨款支出决算表》</w:t>
      </w:r>
      <w:bookmarkEnd w:id="40"/>
      <w:bookmarkEnd w:id="4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8884"/>
      <w:bookmarkStart w:id="43" w:name="_Toc5626"/>
      <w:r>
        <w:rPr>
          <w:rFonts w:hint="eastAsia" w:ascii="黑体" w:hAnsi="黑体" w:eastAsia="仿宋_GB2312" w:cs="宋体"/>
          <w:bCs/>
          <w:color w:val="auto"/>
          <w:kern w:val="0"/>
          <w:sz w:val="32"/>
          <w:szCs w:val="32"/>
          <w:highlight w:val="none"/>
        </w:rPr>
        <w:t>六、《一般公共预算财政拨款基本支出决算表》</w:t>
      </w:r>
      <w:bookmarkEnd w:id="42"/>
      <w:bookmarkEnd w:id="4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32663"/>
      <w:bookmarkStart w:id="45" w:name="_Toc29106"/>
      <w:r>
        <w:rPr>
          <w:rFonts w:hint="eastAsia" w:ascii="黑体" w:hAnsi="黑体" w:eastAsia="仿宋_GB2312" w:cs="宋体"/>
          <w:bCs/>
          <w:color w:val="auto"/>
          <w:kern w:val="0"/>
          <w:sz w:val="32"/>
          <w:szCs w:val="32"/>
          <w:highlight w:val="none"/>
        </w:rPr>
        <w:t>《财政拨款“三公”经费支出决算表》</w:t>
      </w:r>
      <w:bookmarkEnd w:id="44"/>
      <w:bookmarkEnd w:id="45"/>
    </w:p>
    <w:p>
      <w:pPr>
        <w:keepNext w:val="0"/>
        <w:keepLines w:val="0"/>
        <w:pageBreakBefore w:val="0"/>
        <w:widowControl w:val="0"/>
        <w:kinsoku/>
        <w:wordWrap/>
        <w:overflowPunct/>
        <w:topLinePunct w:val="0"/>
        <w:autoSpaceDE/>
        <w:autoSpaceDN/>
        <w:bidi w:val="0"/>
        <w:adjustRightInd/>
        <w:snapToGrid/>
        <w:spacing w:line="240" w:lineRule="auto"/>
        <w:ind w:firstLine="576" w:firstLineChars="200"/>
        <w:jc w:val="both"/>
        <w:textAlignment w:val="auto"/>
        <w:outlineLvl w:val="1"/>
        <w:rPr>
          <w:rFonts w:hint="eastAsia" w:ascii="黑体" w:hAnsi="黑体" w:eastAsia="仿宋_GB2312" w:cs="宋体"/>
          <w:bCs/>
          <w:color w:val="auto"/>
          <w:w w:val="90"/>
          <w:kern w:val="0"/>
          <w:sz w:val="32"/>
          <w:szCs w:val="32"/>
          <w:highlight w:val="none"/>
          <w:lang w:eastAsia="zh-CN"/>
        </w:rPr>
      </w:pPr>
      <w:bookmarkStart w:id="46" w:name="_Toc7643"/>
      <w:bookmarkStart w:id="47" w:name="_Toc5453"/>
      <w:r>
        <w:rPr>
          <w:rFonts w:hint="eastAsia" w:ascii="黑体" w:hAnsi="黑体" w:eastAsia="仿宋_GB2312" w:cs="宋体"/>
          <w:bCs/>
          <w:color w:val="auto"/>
          <w:w w:val="90"/>
          <w:kern w:val="0"/>
          <w:sz w:val="32"/>
          <w:szCs w:val="32"/>
          <w:highlight w:val="none"/>
        </w:rPr>
        <w:t>八、《政府性基金预算财政拨款收入支出决算表》</w:t>
      </w:r>
      <w:bookmarkEnd w:id="46"/>
      <w:bookmarkEnd w:id="47"/>
      <w:r>
        <w:rPr>
          <w:rFonts w:hint="eastAsia" w:ascii="黑体" w:hAnsi="黑体" w:eastAsia="仿宋_GB2312" w:cs="宋体"/>
          <w:bCs/>
          <w:color w:val="auto"/>
          <w:w w:val="90"/>
          <w:kern w:val="0"/>
          <w:sz w:val="32"/>
          <w:szCs w:val="32"/>
          <w:highlight w:val="none"/>
          <w:lang w:eastAsia="zh-CN"/>
        </w:rPr>
        <w:t>（</w:t>
      </w:r>
      <w:r>
        <w:rPr>
          <w:rFonts w:hint="eastAsia" w:ascii="黑体" w:hAnsi="黑体" w:eastAsia="仿宋_GB2312" w:cs="宋体"/>
          <w:bCs/>
          <w:color w:val="auto"/>
          <w:w w:val="90"/>
          <w:kern w:val="0"/>
          <w:sz w:val="32"/>
          <w:szCs w:val="32"/>
          <w:highlight w:val="none"/>
          <w:lang w:val="en-US" w:eastAsia="zh-CN"/>
        </w:rPr>
        <w:t>空表</w:t>
      </w:r>
      <w:r>
        <w:rPr>
          <w:rFonts w:hint="eastAsia" w:ascii="黑体" w:hAnsi="黑体" w:eastAsia="仿宋_GB2312" w:cs="宋体"/>
          <w:bCs/>
          <w:color w:val="auto"/>
          <w:w w:val="90"/>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576" w:firstLineChars="200"/>
        <w:jc w:val="both"/>
        <w:textAlignment w:val="auto"/>
        <w:outlineLvl w:val="1"/>
        <w:rPr>
          <w:rFonts w:hint="eastAsia" w:ascii="黑体" w:hAnsi="黑体" w:eastAsia="仿宋_GB2312" w:cs="宋体"/>
          <w:bCs/>
          <w:color w:val="auto"/>
          <w:w w:val="90"/>
          <w:kern w:val="0"/>
          <w:sz w:val="32"/>
          <w:szCs w:val="32"/>
          <w:highlight w:val="none"/>
          <w:lang w:eastAsia="zh-CN"/>
        </w:rPr>
      </w:pPr>
      <w:r>
        <w:rPr>
          <w:rFonts w:hint="eastAsia" w:ascii="黑体" w:hAnsi="黑体" w:eastAsia="仿宋_GB2312" w:cs="宋体"/>
          <w:bCs/>
          <w:color w:val="auto"/>
          <w:w w:val="90"/>
          <w:kern w:val="0"/>
          <w:sz w:val="32"/>
          <w:szCs w:val="32"/>
          <w:highlight w:val="none"/>
          <w:lang w:val="en-US" w:eastAsia="zh-CN"/>
        </w:rPr>
        <w:t>九</w:t>
      </w:r>
      <w:r>
        <w:rPr>
          <w:rFonts w:hint="eastAsia" w:ascii="黑体" w:hAnsi="黑体" w:eastAsia="仿宋_GB2312" w:cs="宋体"/>
          <w:bCs/>
          <w:color w:val="auto"/>
          <w:w w:val="90"/>
          <w:kern w:val="0"/>
          <w:sz w:val="32"/>
          <w:szCs w:val="32"/>
          <w:highlight w:val="none"/>
        </w:rPr>
        <w:t>、《</w:t>
      </w:r>
      <w:r>
        <w:rPr>
          <w:rFonts w:hint="eastAsia" w:ascii="黑体" w:hAnsi="黑体" w:eastAsia="仿宋_GB2312" w:cs="宋体"/>
          <w:bCs/>
          <w:color w:val="auto"/>
          <w:w w:val="90"/>
          <w:kern w:val="0"/>
          <w:sz w:val="32"/>
          <w:szCs w:val="32"/>
          <w:highlight w:val="none"/>
          <w:lang w:eastAsia="zh-CN"/>
        </w:rPr>
        <w:t>国有资本经营</w:t>
      </w:r>
      <w:r>
        <w:rPr>
          <w:rFonts w:hint="eastAsia" w:ascii="黑体" w:hAnsi="黑体" w:eastAsia="仿宋_GB2312" w:cs="宋体"/>
          <w:bCs/>
          <w:color w:val="auto"/>
          <w:w w:val="90"/>
          <w:kern w:val="0"/>
          <w:sz w:val="32"/>
          <w:szCs w:val="32"/>
          <w:highlight w:val="none"/>
        </w:rPr>
        <w:t>预算财政拨款收入支出决算表》</w:t>
      </w:r>
      <w:r>
        <w:rPr>
          <w:rFonts w:hint="eastAsia" w:ascii="黑体" w:hAnsi="黑体" w:eastAsia="仿宋_GB2312" w:cs="宋体"/>
          <w:bCs/>
          <w:color w:val="auto"/>
          <w:w w:val="90"/>
          <w:kern w:val="0"/>
          <w:sz w:val="32"/>
          <w:szCs w:val="32"/>
          <w:highlight w:val="none"/>
          <w:lang w:eastAsia="zh-CN"/>
        </w:rPr>
        <w:t>（</w:t>
      </w:r>
      <w:r>
        <w:rPr>
          <w:rFonts w:hint="eastAsia" w:ascii="黑体" w:hAnsi="黑体" w:eastAsia="仿宋_GB2312" w:cs="宋体"/>
          <w:bCs/>
          <w:color w:val="auto"/>
          <w:w w:val="90"/>
          <w:kern w:val="0"/>
          <w:sz w:val="32"/>
          <w:szCs w:val="32"/>
          <w:highlight w:val="none"/>
          <w:lang w:val="en-US" w:eastAsia="zh-CN"/>
        </w:rPr>
        <w:t>空表</w:t>
      </w:r>
      <w:r>
        <w:rPr>
          <w:rFonts w:hint="eastAsia" w:ascii="黑体" w:hAnsi="黑体" w:eastAsia="仿宋_GB2312" w:cs="宋体"/>
          <w:bCs/>
          <w:color w:val="auto"/>
          <w:w w:val="90"/>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r>
        <w:drawing>
          <wp:anchor distT="0" distB="0" distL="114300" distR="114300" simplePos="0" relativeHeight="251659264" behindDoc="0" locked="0" layoutInCell="1" allowOverlap="1">
            <wp:simplePos x="0" y="0"/>
            <wp:positionH relativeFrom="column">
              <wp:posOffset>-428625</wp:posOffset>
            </wp:positionH>
            <wp:positionV relativeFrom="paragraph">
              <wp:posOffset>32385</wp:posOffset>
            </wp:positionV>
            <wp:extent cx="6221730" cy="8750300"/>
            <wp:effectExtent l="0" t="0" r="7620" b="12700"/>
            <wp:wrapSquare wrapText="bothSides"/>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5"/>
                    <a:stretch>
                      <a:fillRect/>
                    </a:stretch>
                  </pic:blipFill>
                  <pic:spPr>
                    <a:xfrm>
                      <a:off x="0" y="0"/>
                      <a:ext cx="6221730" cy="8750300"/>
                    </a:xfrm>
                    <a:prstGeom prst="rect">
                      <a:avLst/>
                    </a:prstGeom>
                    <a:noFill/>
                    <a:ln>
                      <a:noFill/>
                    </a:ln>
                  </pic:spPr>
                </pic:pic>
              </a:graphicData>
            </a:graphic>
          </wp:anchor>
        </w:drawing>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r>
        <w:drawing>
          <wp:anchor distT="0" distB="0" distL="114300" distR="114300" simplePos="0" relativeHeight="251660288" behindDoc="0" locked="0" layoutInCell="1" allowOverlap="1">
            <wp:simplePos x="0" y="0"/>
            <wp:positionH relativeFrom="column">
              <wp:posOffset>-323850</wp:posOffset>
            </wp:positionH>
            <wp:positionV relativeFrom="paragraph">
              <wp:posOffset>64770</wp:posOffset>
            </wp:positionV>
            <wp:extent cx="6196965" cy="7907655"/>
            <wp:effectExtent l="0" t="0" r="13335" b="17145"/>
            <wp:wrapSquare wrapText="bothSides"/>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6"/>
                    <a:stretch>
                      <a:fillRect/>
                    </a:stretch>
                  </pic:blipFill>
                  <pic:spPr>
                    <a:xfrm>
                      <a:off x="0" y="0"/>
                      <a:ext cx="6196965" cy="7907655"/>
                    </a:xfrm>
                    <a:prstGeom prst="rect">
                      <a:avLst/>
                    </a:prstGeom>
                    <a:noFill/>
                    <a:ln>
                      <a:noFill/>
                    </a:ln>
                  </pic:spPr>
                </pic:pic>
              </a:graphicData>
            </a:graphic>
          </wp:anchor>
        </w:drawing>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r>
        <w:drawing>
          <wp:anchor distT="0" distB="0" distL="114300" distR="114300" simplePos="0" relativeHeight="251661312" behindDoc="0" locked="0" layoutInCell="1" allowOverlap="1">
            <wp:simplePos x="0" y="0"/>
            <wp:positionH relativeFrom="column">
              <wp:posOffset>-495300</wp:posOffset>
            </wp:positionH>
            <wp:positionV relativeFrom="paragraph">
              <wp:posOffset>83820</wp:posOffset>
            </wp:positionV>
            <wp:extent cx="6210935" cy="8407400"/>
            <wp:effectExtent l="0" t="0" r="18415" b="12700"/>
            <wp:wrapSquare wrapText="bothSides"/>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7"/>
                    <a:stretch>
                      <a:fillRect/>
                    </a:stretch>
                  </pic:blipFill>
                  <pic:spPr>
                    <a:xfrm>
                      <a:off x="0" y="0"/>
                      <a:ext cx="6210935" cy="8407400"/>
                    </a:xfrm>
                    <a:prstGeom prst="rect">
                      <a:avLst/>
                    </a:prstGeom>
                    <a:noFill/>
                    <a:ln>
                      <a:noFill/>
                    </a:ln>
                  </pic:spPr>
                </pic:pic>
              </a:graphicData>
            </a:graphic>
          </wp:anchor>
        </w:drawing>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r>
        <w:drawing>
          <wp:anchor distT="0" distB="0" distL="114300" distR="114300" simplePos="0" relativeHeight="251662336" behindDoc="0" locked="0" layoutInCell="1" allowOverlap="1">
            <wp:simplePos x="0" y="0"/>
            <wp:positionH relativeFrom="column">
              <wp:posOffset>-619125</wp:posOffset>
            </wp:positionH>
            <wp:positionV relativeFrom="paragraph">
              <wp:posOffset>-9525</wp:posOffset>
            </wp:positionV>
            <wp:extent cx="6413500" cy="8790940"/>
            <wp:effectExtent l="0" t="0" r="6350" b="10160"/>
            <wp:wrapSquare wrapText="bothSides"/>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a:blip r:embed="rId8"/>
                    <a:stretch>
                      <a:fillRect/>
                    </a:stretch>
                  </pic:blipFill>
                  <pic:spPr>
                    <a:xfrm>
                      <a:off x="0" y="0"/>
                      <a:ext cx="6413500" cy="8790940"/>
                    </a:xfrm>
                    <a:prstGeom prst="rect">
                      <a:avLst/>
                    </a:prstGeom>
                    <a:noFill/>
                    <a:ln>
                      <a:noFill/>
                    </a:ln>
                  </pic:spPr>
                </pic:pic>
              </a:graphicData>
            </a:graphic>
          </wp:anchor>
        </w:drawing>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r>
        <w:drawing>
          <wp:anchor distT="0" distB="0" distL="114300" distR="114300" simplePos="0" relativeHeight="251663360" behindDoc="0" locked="0" layoutInCell="1" allowOverlap="1">
            <wp:simplePos x="0" y="0"/>
            <wp:positionH relativeFrom="column">
              <wp:posOffset>-542925</wp:posOffset>
            </wp:positionH>
            <wp:positionV relativeFrom="paragraph">
              <wp:posOffset>-5715</wp:posOffset>
            </wp:positionV>
            <wp:extent cx="6213475" cy="6820535"/>
            <wp:effectExtent l="0" t="0" r="15875" b="18415"/>
            <wp:wrapSquare wrapText="bothSides"/>
            <wp:docPr id="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pic:cNvPicPr>
                  </pic:nvPicPr>
                  <pic:blipFill>
                    <a:blip r:embed="rId9"/>
                    <a:stretch>
                      <a:fillRect/>
                    </a:stretch>
                  </pic:blipFill>
                  <pic:spPr>
                    <a:xfrm>
                      <a:off x="0" y="0"/>
                      <a:ext cx="6213475" cy="6820535"/>
                    </a:xfrm>
                    <a:prstGeom prst="rect">
                      <a:avLst/>
                    </a:prstGeom>
                    <a:noFill/>
                    <a:ln>
                      <a:noFill/>
                    </a:ln>
                  </pic:spPr>
                </pic:pic>
              </a:graphicData>
            </a:graphic>
          </wp:anchor>
        </w:drawing>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eastAsia="zh-CN"/>
        </w:rPr>
      </w:pPr>
      <w:bookmarkStart w:id="48" w:name="_GoBack"/>
      <w:r>
        <w:drawing>
          <wp:anchor distT="0" distB="0" distL="114300" distR="114300" simplePos="0" relativeHeight="251667456" behindDoc="0" locked="0" layoutInCell="1" allowOverlap="1">
            <wp:simplePos x="0" y="0"/>
            <wp:positionH relativeFrom="column">
              <wp:posOffset>-533400</wp:posOffset>
            </wp:positionH>
            <wp:positionV relativeFrom="paragraph">
              <wp:posOffset>40005</wp:posOffset>
            </wp:positionV>
            <wp:extent cx="6474460" cy="8762365"/>
            <wp:effectExtent l="0" t="0" r="2540" b="635"/>
            <wp:wrapSquare wrapText="bothSides"/>
            <wp:docPr id="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
                    <pic:cNvPicPr>
                      <a:picLocks noChangeAspect="1"/>
                    </pic:cNvPicPr>
                  </pic:nvPicPr>
                  <pic:blipFill>
                    <a:blip r:embed="rId10"/>
                    <a:stretch>
                      <a:fillRect/>
                    </a:stretch>
                  </pic:blipFill>
                  <pic:spPr>
                    <a:xfrm>
                      <a:off x="0" y="0"/>
                      <a:ext cx="6474460" cy="8762365"/>
                    </a:xfrm>
                    <a:prstGeom prst="rect">
                      <a:avLst/>
                    </a:prstGeom>
                    <a:noFill/>
                    <a:ln>
                      <a:noFill/>
                    </a:ln>
                  </pic:spPr>
                </pic:pic>
              </a:graphicData>
            </a:graphic>
          </wp:anchor>
        </w:drawing>
      </w:r>
      <w:bookmarkEnd w:id="48"/>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eastAsia="zh-CN"/>
        </w:rPr>
      </w:pPr>
      <w:r>
        <w:drawing>
          <wp:anchor distT="0" distB="0" distL="114300" distR="114300" simplePos="0" relativeHeight="251664384" behindDoc="0" locked="0" layoutInCell="1" allowOverlap="1">
            <wp:simplePos x="0" y="0"/>
            <wp:positionH relativeFrom="column">
              <wp:posOffset>-676275</wp:posOffset>
            </wp:positionH>
            <wp:positionV relativeFrom="paragraph">
              <wp:posOffset>-158115</wp:posOffset>
            </wp:positionV>
            <wp:extent cx="6659245" cy="2365375"/>
            <wp:effectExtent l="0" t="0" r="8255" b="15875"/>
            <wp:wrapSquare wrapText="bothSides"/>
            <wp:docPr id="9"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pic:cNvPicPr>
                      <a:picLocks noChangeAspect="1"/>
                    </pic:cNvPicPr>
                  </pic:nvPicPr>
                  <pic:blipFill>
                    <a:blip r:embed="rId11"/>
                    <a:stretch>
                      <a:fillRect/>
                    </a:stretch>
                  </pic:blipFill>
                  <pic:spPr>
                    <a:xfrm>
                      <a:off x="0" y="0"/>
                      <a:ext cx="6659245" cy="2365375"/>
                    </a:xfrm>
                    <a:prstGeom prst="rect">
                      <a:avLst/>
                    </a:prstGeom>
                    <a:noFill/>
                    <a:ln>
                      <a:noFill/>
                    </a:ln>
                  </pic:spPr>
                </pic:pic>
              </a:graphicData>
            </a:graphic>
          </wp:anchor>
        </w:drawing>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eastAsia="zh-CN"/>
        </w:rPr>
      </w:pPr>
      <w:r>
        <w:drawing>
          <wp:anchor distT="0" distB="0" distL="114300" distR="114300" simplePos="0" relativeHeight="251665408" behindDoc="0" locked="0" layoutInCell="1" allowOverlap="1">
            <wp:simplePos x="0" y="0"/>
            <wp:positionH relativeFrom="column">
              <wp:posOffset>-609600</wp:posOffset>
            </wp:positionH>
            <wp:positionV relativeFrom="paragraph">
              <wp:posOffset>78105</wp:posOffset>
            </wp:positionV>
            <wp:extent cx="6563360" cy="2555240"/>
            <wp:effectExtent l="0" t="0" r="8890" b="16510"/>
            <wp:wrapSquare wrapText="bothSides"/>
            <wp:docPr id="10"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9"/>
                    <pic:cNvPicPr>
                      <a:picLocks noChangeAspect="1"/>
                    </pic:cNvPicPr>
                  </pic:nvPicPr>
                  <pic:blipFill>
                    <a:blip r:embed="rId12"/>
                    <a:stretch>
                      <a:fillRect/>
                    </a:stretch>
                  </pic:blipFill>
                  <pic:spPr>
                    <a:xfrm>
                      <a:off x="0" y="0"/>
                      <a:ext cx="6563360" cy="2555240"/>
                    </a:xfrm>
                    <a:prstGeom prst="rect">
                      <a:avLst/>
                    </a:prstGeom>
                    <a:noFill/>
                    <a:ln>
                      <a:noFill/>
                    </a:ln>
                  </pic:spPr>
                </pic:pic>
              </a:graphicData>
            </a:graphic>
          </wp:anchor>
        </w:drawing>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eastAsia="zh-CN"/>
        </w:rPr>
      </w:pPr>
      <w:r>
        <w:drawing>
          <wp:anchor distT="0" distB="0" distL="114300" distR="114300" simplePos="0" relativeHeight="251666432" behindDoc="0" locked="0" layoutInCell="1" allowOverlap="1">
            <wp:simplePos x="0" y="0"/>
            <wp:positionH relativeFrom="column">
              <wp:posOffset>-381000</wp:posOffset>
            </wp:positionH>
            <wp:positionV relativeFrom="paragraph">
              <wp:posOffset>85725</wp:posOffset>
            </wp:positionV>
            <wp:extent cx="6142355" cy="3268345"/>
            <wp:effectExtent l="0" t="0" r="10795" b="8255"/>
            <wp:wrapSquare wrapText="bothSides"/>
            <wp:docPr id="11"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0"/>
                    <pic:cNvPicPr>
                      <a:picLocks noChangeAspect="1"/>
                    </pic:cNvPicPr>
                  </pic:nvPicPr>
                  <pic:blipFill>
                    <a:blip r:embed="rId13"/>
                    <a:stretch>
                      <a:fillRect/>
                    </a:stretch>
                  </pic:blipFill>
                  <pic:spPr>
                    <a:xfrm>
                      <a:off x="0" y="0"/>
                      <a:ext cx="6142355" cy="3268345"/>
                    </a:xfrm>
                    <a:prstGeom prst="rect">
                      <a:avLst/>
                    </a:prstGeom>
                    <a:noFill/>
                    <a:ln>
                      <a:noFill/>
                    </a:ln>
                  </pic:spPr>
                </pic:pic>
              </a:graphicData>
            </a:graphic>
          </wp:anchor>
        </w:drawing>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yOGZmZWJiZjkzMTc5MjUxM2FlYjUzNmFjOTJhZmYifQ=="/>
    <w:docVar w:name="KSO_WPS_MARK_KEY" w:val="41ee2a61-2d54-4f93-83be-afdb9a40d732"/>
  </w:docVars>
  <w:rsids>
    <w:rsidRoot w:val="00000000"/>
    <w:rsid w:val="00213C59"/>
    <w:rsid w:val="003210CE"/>
    <w:rsid w:val="00B70D59"/>
    <w:rsid w:val="00F52A8D"/>
    <w:rsid w:val="019404F8"/>
    <w:rsid w:val="01ED22F2"/>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1A37CB"/>
    <w:rsid w:val="0A3D4664"/>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CA83085"/>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B21E0B"/>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EF40C0"/>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A803CB"/>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E26C27"/>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5E816A3"/>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070C4"/>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2B0ABA"/>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76FDA"/>
    <w:rsid w:val="6E3947F5"/>
    <w:rsid w:val="6E6E3938"/>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8C7430F"/>
    <w:rsid w:val="790A6425"/>
    <w:rsid w:val="790E2D96"/>
    <w:rsid w:val="791B54B2"/>
    <w:rsid w:val="795A0A34"/>
    <w:rsid w:val="797339C3"/>
    <w:rsid w:val="79D57D57"/>
    <w:rsid w:val="79F00650"/>
    <w:rsid w:val="7A6242BF"/>
    <w:rsid w:val="7A794513"/>
    <w:rsid w:val="7AE952D2"/>
    <w:rsid w:val="7B727588"/>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qFormat/>
    <w:uiPriority w:val="0"/>
    <w:rPr>
      <w:b/>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9.png"/><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33</Pages>
  <Words>6460</Words>
  <Characters>20598</Characters>
  <Lines>0</Lines>
  <Paragraphs>0</Paragraphs>
  <TotalTime>8</TotalTime>
  <ScaleCrop>false</ScaleCrop>
  <LinksUpToDate>false</LinksUpToDate>
  <CharactersWithSpaces>20832</CharactersWithSpaces>
  <Application>WPS Office_11.8.2.8959_F1E327BC-269C-435d-A152-05C5408002CA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dcterms:modified xsi:type="dcterms:W3CDTF">2024-10-30T09:45:10Z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y fmtid="{D5CDD505-2E9C-101B-9397-08002B2CF9AE}" pid="3" name="ICV">
    <vt:lpwstr>D624B15633CD43C8BF9435464A96BF70</vt:lpwstr>
  </property>
</Properties>
</file>