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附件4：</w:t>
      </w: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部门单位整体支出绩效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2023</w:t>
      </w:r>
      <w:r>
        <w:rPr>
          <w:rFonts w:hint="eastAsia" w:hAnsi="宋体" w:eastAsia="仿宋_GB2312" w:cs="宋体"/>
          <w:kern w:val="0"/>
          <w:sz w:val="36"/>
          <w:szCs w:val="36"/>
        </w:rPr>
        <w:t>年度）</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540" w:lineRule="exact"/>
        <w:ind w:firstLine="720" w:firstLineChars="200"/>
        <w:rPr>
          <w:rFonts w:hAnsi="宋体" w:eastAsia="仿宋_GB2312" w:cs="宋体"/>
          <w:kern w:val="0"/>
          <w:sz w:val="44"/>
          <w:szCs w:val="44"/>
        </w:rPr>
      </w:pPr>
      <w:r>
        <w:rPr>
          <w:rFonts w:hint="eastAsia" w:hAnsi="宋体" w:eastAsia="仿宋_GB2312" w:cs="宋体"/>
          <w:kern w:val="0"/>
          <w:sz w:val="36"/>
          <w:szCs w:val="36"/>
        </w:rPr>
        <w:t>部门单位名称（公章）</w:t>
      </w:r>
      <w:r>
        <w:rPr>
          <w:rFonts w:hint="eastAsia" w:ascii="仿宋" w:hAnsi="仿宋" w:eastAsia="仿宋" w:cs="仿宋"/>
          <w:kern w:val="0"/>
          <w:sz w:val="44"/>
          <w:szCs w:val="44"/>
        </w:rPr>
        <w:t>：</w:t>
      </w:r>
      <w:r>
        <w:rPr>
          <w:rStyle w:val="6"/>
          <w:rFonts w:hint="eastAsia" w:ascii="仿宋" w:hAnsi="仿宋" w:eastAsia="仿宋" w:cs="仿宋"/>
          <w:b w:val="0"/>
          <w:bCs w:val="0"/>
          <w:spacing w:val="-4"/>
          <w:sz w:val="44"/>
          <w:szCs w:val="44"/>
        </w:rPr>
        <w:t>政协库尔勒市委员会办公室</w:t>
      </w:r>
    </w:p>
    <w:p>
      <w:pPr>
        <w:spacing w:line="540" w:lineRule="exact"/>
        <w:ind w:firstLine="720" w:firstLineChars="200"/>
        <w:rPr>
          <w:rFonts w:ascii="仿宋" w:hAnsi="仿宋" w:eastAsia="仿宋" w:cs="仿宋"/>
          <w:kern w:val="0"/>
          <w:sz w:val="44"/>
          <w:szCs w:val="44"/>
        </w:rPr>
      </w:pPr>
      <w:r>
        <w:rPr>
          <w:rFonts w:hint="eastAsia" w:hAnsi="宋体" w:eastAsia="仿宋_GB2312" w:cs="宋体"/>
          <w:kern w:val="0"/>
          <w:sz w:val="36"/>
          <w:szCs w:val="36"/>
        </w:rPr>
        <w:t>填报时间：</w:t>
      </w:r>
      <w:r>
        <w:rPr>
          <w:rStyle w:val="6"/>
          <w:rFonts w:hint="eastAsia" w:ascii="仿宋" w:hAnsi="仿宋" w:eastAsia="仿宋" w:cs="仿宋"/>
          <w:b w:val="0"/>
          <w:bCs w:val="0"/>
          <w:spacing w:val="-4"/>
          <w:sz w:val="44"/>
          <w:szCs w:val="44"/>
        </w:rPr>
        <w:t>2024年04月22日</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基本概况：</w:t>
      </w:r>
    </w:p>
    <w:p>
      <w:pPr>
        <w:spacing w:line="600" w:lineRule="exact"/>
        <w:ind w:firstLine="964" w:firstLineChars="300"/>
        <w:jc w:val="left"/>
        <w:rPr>
          <w:rFonts w:hint="eastAsia" w:ascii="Arial" w:hAnsi="Arial" w:cs="Arial"/>
          <w:b/>
          <w:bCs/>
          <w:color w:val="333333"/>
          <w:sz w:val="30"/>
          <w:szCs w:val="30"/>
        </w:rPr>
      </w:pPr>
      <w:r>
        <w:rPr>
          <w:rFonts w:hint="eastAsia" w:ascii="黑体" w:hAnsi="黑体" w:eastAsia="黑体" w:cs="宋体"/>
          <w:b/>
          <w:color w:val="000000" w:themeColor="text1"/>
          <w:sz w:val="32"/>
          <w:szCs w:val="32"/>
          <w:lang w:bidi="ar"/>
          <w14:textFill>
            <w14:solidFill>
              <w14:schemeClr w14:val="tx1"/>
            </w14:solidFill>
          </w14:textFill>
        </w:rPr>
        <w:t>（一）</w:t>
      </w:r>
      <w:r>
        <w:rPr>
          <w:rFonts w:ascii="黑体" w:hAnsi="黑体" w:eastAsia="黑体" w:cs="宋体"/>
          <w:b/>
          <w:color w:val="000000" w:themeColor="text1"/>
          <w:sz w:val="32"/>
          <w:szCs w:val="32"/>
          <w:lang w:bidi="ar"/>
          <w14:textFill>
            <w14:solidFill>
              <w14:schemeClr w14:val="tx1"/>
            </w14:solidFill>
          </w14:textFill>
        </w:rPr>
        <w:t>部门单位基本情况</w:t>
      </w:r>
      <w:r>
        <w:rPr>
          <w:rFonts w:hint="eastAsia" w:ascii="Arial" w:hAnsi="Arial" w:cs="Arial"/>
          <w:b/>
          <w:bCs/>
          <w:color w:val="333333"/>
          <w:sz w:val="30"/>
          <w:szCs w:val="30"/>
        </w:rPr>
        <w:t>：</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1.部门职能</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中国人民政治协商会议全国委员会和地方委员会的主要职能是政治协商、民主监督、参政议政。</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政治协商是对国家和地方的大政方针以及政治、经济、文化和社会生活中的重要问题在决策之前进行协商和就决策执行过程中的重要问题进行协商。中国政协的政治协商是中国共产党领导的多党合作的重要体现，是党和国家实行科学民主决策的重要环节，是党提高执政能力的重要途径。</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政治协商的主要内容有：国家和地方的大政方针以及政治、经济、文化和社会生活中的重要问题；各党派参加人民政协工作的共同性事务以及有关爱国统一战线的其他重要问题。</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政治协商的主要形式有：政协全体会议，常务委员会议，主席会议，常务委员专题座谈会，政协党组受党委委托召开的座谈会，以全国政协名义召开的专题协商会，秘书长会议，各专门委员会会议，根据需要召开由政协各组成单位和各界别代表人士参加的内部协商会议。政治协商依照程序进行。</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民主监督是对国家宪法、法律和法规的实施，重大方针政策的贯彻执行、国家机关及其工作人员的工作，通过建议和批评进行监督。中国政协的民主监督是中国社会主义监督体系的重要组成部分，是在坚持四项基本原则的基础上通过提出意见、批评、建议的方式进行的政治监督。它是参加中国政协的各党派团体和各族各界人士通过政协组织对国家机关及其工作人员的工作进行的监督，也是中国共产党在政协中与各民主党派和无党派人士之间进行的互相监督。</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民主监督的主要内容有：国家宪法、法律和法规的实施，重大方针政策的贯彻执行，国家机关及其工作人员的工作，参加政协的单位和个人遵守政协章程和执行政协决议的情况。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民主监督的主要形式有：政协全体会议、常委会议、主席会议向党委和政府提出建议案；各专门委员会提出建议或有关报告；委员视察、委员提案、委员举报、大会发言、反映社情民意或以其他形式提出批评和建议；参加党委和政府有关部门组织的调查和检查活动；政协委员应邀担任司法机关和政府部门特约监督人员等。</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参政议政是对政治、经济、文化和社会生活中的重要问题以及人民群众普遍关心的问题，开展调查研究，反映社情民意，进行协商讨论。通过调研报告、提案、建议案或其他形式，向中国共产党和国家机关提出意见和建议。中国政协的参政议政是人民政协履行职能的重要形式，也是党政领导机关经常听取参加人民政协的各民主党派、人民团体和各族各界人士的意见和建议、切实做好工作的有效方式。</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参政议政的主要内容有：选择人民群众关心、党政部门重视、政协有条件做的课题，组织调查和研究，积极主动地向党政领导机关提出建议性的意见；通过多种方式，广开言路，广开才路，充分发挥委员专长和作用，为改革开放和社会主义现代化建设献计献策；广泛参与政治、经济、文化和社会活动，对一些共同关心的事项开展评议等。</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参政议政的主要形式有：反映社情民意、各种协商例会，各种专题议政会、专题研讨会、专题调研、委员视察、考察、政协委员参与中共党委与政府统一组织的检查和巡视。</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2.部门机构人员构成情况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库尔勒市政协编制数18人，实有人数55人，其中：在职20人；退休35人；离休0人。</w:t>
      </w:r>
      <w:bookmarkStart w:id="0" w:name="_Hlk43849111"/>
      <w:bookmarkEnd w:id="0"/>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（二）</w:t>
      </w:r>
      <w:r>
        <w:rPr>
          <w:rFonts w:ascii="黑体" w:hAnsi="黑体" w:eastAsia="黑体" w:cs="宋体"/>
          <w:b/>
          <w:color w:val="000000" w:themeColor="text1"/>
          <w:sz w:val="32"/>
          <w:szCs w:val="32"/>
          <w:lang w:bidi="ar"/>
          <w14:textFill>
            <w14:solidFill>
              <w14:schemeClr w14:val="tx1"/>
            </w14:solidFill>
          </w14:textFill>
        </w:rPr>
        <w:t>部门单位年度重点工作：</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1.2023年度工作计划</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主要是召开库尔勒市政协十一届三次会议；分别在3、6、8、12月召开召开十一届库尔勒市政协第八次、第九次、第十次和第十一次常委会；每季度召开季度协商座谈会；分别在4月和七月围绕“以增强文化认同为目标推进文化润疆”“转变干部作风，提高行政服务效能，优化营商环境”议题开展专题调研；在5月和9月组织委员围绕“进一步促进物业管理行业健康发展”“加强农牧民国家通用语言文字学习使用，助力农村富余劳动力转移就业”议题，组织委员开展专题视察进行视察；全年围绕提案开展办理。</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2.机构人员保障情况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库尔勒市政协2023年通过本部门预算支出，确保了20名在职人员的工资、津贴、补贴、社保、绩效、公积金等以及35名离退休人员的工资、医疗费等。人员保障性经费能够依规、按时、足额发放或缴纳，提升部门人员工作积极性和服务质量。同时，保障了部门全年正常运转，为部门正常履职和开展综合性事务管理提供有效支撑，确保了公用保障性经费按照财政安排和相关工作要求及时支出。</w:t>
      </w:r>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（三）</w:t>
      </w:r>
      <w:r>
        <w:rPr>
          <w:rFonts w:ascii="黑体" w:hAnsi="黑体" w:eastAsia="黑体" w:cs="宋体"/>
          <w:b/>
          <w:color w:val="000000" w:themeColor="text1"/>
          <w:sz w:val="32"/>
          <w:szCs w:val="32"/>
          <w:lang w:bidi="ar"/>
          <w14:textFill>
            <w14:solidFill>
              <w14:schemeClr w14:val="tx1"/>
            </w14:solidFill>
          </w14:textFill>
        </w:rPr>
        <w:t>部门单位整体预算规模及安排情况：</w:t>
      </w:r>
    </w:p>
    <w:p>
      <w:pPr>
        <w:spacing w:line="600" w:lineRule="exact"/>
        <w:ind w:firstLine="960" w:firstLineChars="300"/>
        <w:jc w:val="left"/>
        <w:rPr>
          <w:rFonts w:hint="eastAsia" w:ascii="仿宋_GB2312" w:hAnsi="宋体" w:eastAsia="仿宋_GB2312"/>
          <w:bCs/>
          <w:sz w:val="32"/>
          <w:szCs w:val="32"/>
        </w:rPr>
      </w:pPr>
      <w:r>
        <w:rPr>
          <w:rFonts w:hint="eastAsia" w:ascii="仿宋_GB2312" w:hAnsi="宋体" w:eastAsia="仿宋_GB2312"/>
          <w:bCs/>
          <w:sz w:val="32"/>
          <w:szCs w:val="32"/>
        </w:rPr>
        <w:t>1.年初预算安排</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2023年我部门年初安排预算数为472.17万元，其中:上级安排4.5万元,本级安排467.67万元，其他资金0万元。</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综上所述，部门预算安排与本单位职能关联度较高，预算安排结构清晰明了，能够直观展示各项费用的分配情况，预算规模合理，为单位的稳健发展和高效运行提供了有力保障。</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2.预算年中调整情况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我部门年初安排预算数472.17万元，年中调整数+63.1万元，调整后全年预算数535.27万元，预算调整率13.36%。</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综上所述，年中预算调整幅度与本单位运转情况和履职情况相匹配，未出现资金收支不平衡以及债务风险等负面影响，确保了预算调整的合理性和必要性。</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3.资金使用主要内容、涉及的范围</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我单位2023年度部门整体支出为535.27万元，其中：</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1）基本支出515.77万元，主要用于：基本工资、津贴补贴、奖金、机关事业单位基本养老保险缴费、职业年金缴费、职工基本医疗保险缴费、办公费、差旅费、维修（护）费、福利费、退休费，抚恤金，生活补助，其他个人补助支出等。</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（2）项目支出19.50万元，主要用于部门专项-政协十一届四次会议会议费项目7.00万元、部门专项-政协委员活动保障项目项目6.00万元、2023年度政协委员活动经费项目2.00万元、2023年基层政协补助经费项目4.50万元。</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部门单位整体支出管理及使用情况：</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（一）基本支出投入、管理和使用情况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1.基本支出投入和使用情况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2023年我部门基本支出年初预算安排433.83万元，全年预算数515.77万元，全年实际支出数515.77万元，其中：人员经费478.95万元，公用经费36.82万元。全年预算执行率100.00%。</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2.基本支出管理情况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基本支出严格按照财务管理制度执行。人员工资由相关部门严格审核，按月申报及发放。基本公用经费主要用于支付单位日常的办公费、邮电费、差旅费、维修（护）费、劳务费、车辆运行维护费等。公务用车运行维护费主要用于单位车辆加油、维修及购买车辆保险。</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（二）项目支出投入、管理和使用情况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1.项目支出投入和使用情况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2023年本单位共安排4个项目，全年预算数为19.50万元，全年实际支出数19.50万元，执行率100.00%。</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其中:上级安排项目2个6.5万元，本级安排项目2个13万元,其他资金安排项目0个0万元。</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2.项目支出管理情况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1）依据《关于印发&lt;自治区财政资金使用跟踪反馈管理暂行办法&gt;的通知》（新财预字【2016】113号）、《中华人民共和国预算法》等相关资金、项目管理办法执行，按比例按资金用途使用，实行专款专用、严禁挤占挪用。加强对项目资金的预算执行及日常监督管理，确保每个项目按照规定的用途实施。</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（2）资金拨付审批手续完整。项目资金专款专用，不存在支出依据不合规，序列项目支出，截留，挤占，挪用和超标准支出等现象，使项目资金的运用得到了合理的控制，项目得到了切实的保障。</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3）会计信息质量真实。严格执行《会计法》等财经法规，严格按照相关会计制度办理会计业务，进行会计核算，并做好会计记录，真实的反映项目资金管理情况，并接受财政、审批部门及上级主管部门的检查、监督。</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（4）执行预决算管理。严格按预算管理要求使用资金，严格按进度和合同拨付资金，严格执行政府采购制度；严格执行国库集中支付制度，严防截留、挪用资金。</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部门单位整体支出绩效分析：</w:t>
      </w:r>
    </w:p>
    <w:p>
      <w:pPr>
        <w:spacing w:line="600" w:lineRule="exact"/>
        <w:ind w:firstLine="800" w:firstLineChars="250"/>
        <w:jc w:val="left"/>
        <w:rPr>
          <w:rFonts w:ascii="仿宋_GB2312" w:hAnsi="宋体" w:eastAsia="仿宋_GB2312"/>
          <w:b/>
          <w:sz w:val="32"/>
          <w:szCs w:val="32"/>
        </w:rPr>
      </w:pPr>
      <w:r>
        <w:rPr>
          <w:rFonts w:hint="eastAsia" w:ascii="黑体" w:hAnsi="黑体" w:eastAsia="黑体" w:cs="宋体"/>
          <w:bCs/>
          <w:color w:val="333333"/>
          <w:sz w:val="32"/>
          <w:szCs w:val="32"/>
          <w:lang w:bidi="ar"/>
        </w:rPr>
        <w:t xml:space="preserve"> </w:t>
      </w:r>
      <w:r>
        <w:rPr>
          <w:rFonts w:hint="eastAsia" w:ascii="仿宋_GB2312" w:hAnsi="宋体" w:eastAsia="仿宋_GB2312"/>
          <w:bCs/>
          <w:sz w:val="32"/>
          <w:szCs w:val="32"/>
        </w:rPr>
        <w:t>我单位2023年度部门整体支出绩效目标围绕部门职能、中长期规划、年度工作计划、重点工作任务及要求，确定年度部门整体支出的绩效目标。拟通过绩效评价分析部门整体支出对单位基本运转及单位职能履职的保障作用，总结经验做法，找出资金使用和管理中的薄弱环节，进一步加强预算管理，提高财政资金使用效益。</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我单位将部门单位整体绩效目标细化分解为具体的绩效指标，一级指标共1条，二级指标共1条，三级指标共4条，其中量化指标条数共4条，所有绩效指标均通过清晰、可衡量的指标值予以体现。</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（一）指标一：运行成本</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无此项指标。</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（二）指标二：管理效率</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无此项指标。</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（三）指标三：履职效能</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数量指标1：保障和提升政协委员形成政治协商、民主监督、参政议政工作次数,预期指标值为：&gt;=8项；监控节点完成值：=4项；评价实际完成值：=8项；指标完成率：100.00%；成效分析：通过单位正常运转，提高了政协委员形成政治协商、民主监督、参政议政的工作效能。</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数量指标2：审议讨论通过政协常委会和提案工作报告次数</w:t>
      </w:r>
      <w:r>
        <w:rPr>
          <w:rFonts w:hint="eastAsia" w:ascii="仿宋_GB2312" w:hAnsi="宋体" w:eastAsia="仿宋_GB2312"/>
          <w:bCs/>
          <w:sz w:val="32"/>
          <w:szCs w:val="32"/>
        </w:rPr>
        <w:tab/>
        <w:t>,预期指标值为：&gt;=1次；监控节点完成值：=1次；评价实际完成值：=1次；指标完成率：100.00%；成效分析：通过单位正常运转，提高了政协班子及委员的履职效能。</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数量指标3：召开十一届政协四次会议次数,预期指标值为：&gt;=1次；监控节点完成值：=1次；评价实际完成值：=1次；指标完成率：100.00%；成效分析：通过单位正常运转，提高了政协各项工作的完成率。</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数量指标4：召开库尔勒市政协常委会会议次数</w:t>
      </w:r>
      <w:r>
        <w:rPr>
          <w:rFonts w:hint="eastAsia" w:ascii="仿宋_GB2312" w:hAnsi="宋体" w:eastAsia="仿宋_GB2312"/>
          <w:bCs/>
          <w:sz w:val="32"/>
          <w:szCs w:val="32"/>
        </w:rPr>
        <w:tab/>
        <w:t>,预期指标值为：&gt;=4次/年；监控节点完成值：=2次/年；评价实际完成值：=4次/年；指标完成率：100.00%；成效分析：通过单位正常运转，提高了政协各项工作的完成率。</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（四）指标四：社会效益</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无此项指标。</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（五）指标五：可持续发展能力</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无此项指标。</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（六）指标六：服务对象满意度</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无此项指标。</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评价结论：</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本部门严格按照科学公正、统筹兼顾、激励约束、公开透明的绩效评价原则，对本部门预算执行情况、部门单位整体支出管理及使用情况、部门单位整体支出绩效指标完成情况等进行了综合评价。</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2023年度部门整体支出绩效自评综合得分100分，评价结果为“优”。</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存在的主要问题及原因分析：</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预算管理主</w:t>
      </w:r>
      <w:r>
        <w:rPr>
          <w:rFonts w:hint="eastAsia" w:ascii="仿宋_GB2312" w:hAnsi="宋体" w:eastAsia="仿宋_GB2312"/>
          <w:bCs/>
          <w:sz w:val="32"/>
          <w:szCs w:val="32"/>
          <w:lang w:val="en-US" w:eastAsia="zh-CN"/>
        </w:rPr>
        <w:t>体</w:t>
      </w:r>
      <w:bookmarkStart w:id="1" w:name="_GoBack"/>
      <w:bookmarkEnd w:id="1"/>
      <w:r>
        <w:rPr>
          <w:rFonts w:hint="eastAsia" w:ascii="仿宋_GB2312" w:hAnsi="宋体" w:eastAsia="仿宋_GB2312"/>
          <w:bCs/>
          <w:sz w:val="32"/>
          <w:szCs w:val="32"/>
        </w:rPr>
        <w:t>责任落实不够到位。承担项目建设任务的负责人和单位领导责任意识不强，参与预算绩效管理工作的主动性、积极性不高，还存在责任不清、被动应付的情况，未能充分发挥预算绩效管理促进项目资金高效使用的作用。</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预算绩效管理水平不足。从事预算绩效管理的工作人员，在目标设定、指标设置、审核、跟踪、评价等方面存在能力不足的问题。将业务管理与绩效管理充分融合方面还有待提高，在不同项目核心绩效指标的细化、量化上还需要下功夫多做研究。</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改进措施和建议：</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强化预算绩效管理责任意识。项目责任科室和单位领导要进一步提高政治站位，增强预算绩效管理责任意识，不断强化“花钱必问效、无效必问责”的绩效管理理念，认真落实预算管理主体责任，切实提高项目建设质量，合理安排预算执行进度，确保绩效评价结果达到预期目标。</w:t>
      </w:r>
      <w:r>
        <w:rPr>
          <w:rFonts w:hint="eastAsia" w:ascii="仿宋_GB2312" w:hAnsi="宋体" w:eastAsia="仿宋_GB2312"/>
          <w:bCs/>
          <w:sz w:val="32"/>
          <w:szCs w:val="32"/>
        </w:rPr>
        <w:br w:type="textWrapping"/>
      </w:r>
      <w:r>
        <w:rPr>
          <w:rFonts w:hint="eastAsia" w:ascii="仿宋_GB2312" w:hAnsi="宋体" w:eastAsia="仿宋_GB2312"/>
          <w:bCs/>
          <w:sz w:val="32"/>
          <w:szCs w:val="32"/>
        </w:rPr>
        <w:t>有效提升预算绩效管理质量。项目责任科室和实施单位要按照“全方位、全过程、全覆盖”的预算绩效闭环管理要求，切实加强事前绩效评估、事中绩效监控、事后绩效评价的闭环管理体系建设，健全项目预算绩效管理制度、科学、合理、精准设置项目支出绩效目标，推动绩效管理标准科学、程序规范、方法合理、结果可信，不断提高预算绩效管理工作水平。</w:t>
      </w:r>
      <w:r>
        <w:rPr>
          <w:rFonts w:hint="eastAsia" w:ascii="仿宋_GB2312" w:hAnsi="宋体" w:eastAsia="仿宋_GB2312"/>
          <w:bCs/>
          <w:sz w:val="32"/>
          <w:szCs w:val="32"/>
        </w:rPr>
        <w:br w:type="textWrapping"/>
      </w:r>
      <w:r>
        <w:rPr>
          <w:rFonts w:hint="eastAsia" w:ascii="仿宋_GB2312" w:hAnsi="宋体" w:eastAsia="仿宋_GB2312"/>
          <w:bCs/>
          <w:sz w:val="32"/>
          <w:szCs w:val="32"/>
        </w:rPr>
        <w:t>加强监管，做到监管机制环环相扣，不出现断层、漏洞，坚决把全力关进制度的笼子。进一步完善财务制度，规范财经纪律。不断加强财务人员的业务学习，提高业务能力，参加业务培训学习。健全和完善激励与约束机制，实行项目申报制，严格执行预算执行。</w:t>
      </w:r>
    </w:p>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panose1 w:val="03000509000000000000"/>
    <w:charset w:val="86"/>
    <w:family w:val="script"/>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AwZmYzMDUwNzhmYmVmMzNlY2I1MjAwNzI2NzY5MDUifQ=="/>
  </w:docVars>
  <w:rsids>
    <w:rsidRoot w:val="00EB3604"/>
    <w:rsid w:val="00021B05"/>
    <w:rsid w:val="000B791B"/>
    <w:rsid w:val="001C7F2C"/>
    <w:rsid w:val="00340E58"/>
    <w:rsid w:val="003E45AA"/>
    <w:rsid w:val="00486CD9"/>
    <w:rsid w:val="00584481"/>
    <w:rsid w:val="00653C1A"/>
    <w:rsid w:val="0072543F"/>
    <w:rsid w:val="007A5D83"/>
    <w:rsid w:val="007A798C"/>
    <w:rsid w:val="007B51CE"/>
    <w:rsid w:val="007D7702"/>
    <w:rsid w:val="007E47F4"/>
    <w:rsid w:val="007F0F7C"/>
    <w:rsid w:val="00892E0B"/>
    <w:rsid w:val="008F0DCE"/>
    <w:rsid w:val="00916058"/>
    <w:rsid w:val="00AB72C1"/>
    <w:rsid w:val="00C10BB4"/>
    <w:rsid w:val="00CE0C6C"/>
    <w:rsid w:val="00DB647F"/>
    <w:rsid w:val="00DC7E33"/>
    <w:rsid w:val="00E40ABD"/>
    <w:rsid w:val="00E8616A"/>
    <w:rsid w:val="00EB3604"/>
    <w:rsid w:val="020B07BA"/>
    <w:rsid w:val="02656D15"/>
    <w:rsid w:val="06696209"/>
    <w:rsid w:val="0D1922F1"/>
    <w:rsid w:val="10DF6E84"/>
    <w:rsid w:val="1438599A"/>
    <w:rsid w:val="200F4073"/>
    <w:rsid w:val="24B86128"/>
    <w:rsid w:val="2FD12231"/>
    <w:rsid w:val="51C70EA9"/>
    <w:rsid w:val="54F842B6"/>
    <w:rsid w:val="64F5745B"/>
    <w:rsid w:val="656071F2"/>
    <w:rsid w:val="6BF1756B"/>
    <w:rsid w:val="6F5E1AA3"/>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57</Words>
  <Characters>328</Characters>
  <Lines>2</Lines>
  <Paragraphs>1</Paragraphs>
  <TotalTime>8</TotalTime>
  <ScaleCrop>false</ScaleCrop>
  <LinksUpToDate>false</LinksUpToDate>
  <CharactersWithSpaces>384</CharactersWithSpaces>
  <Application>WPS Office_11.8.2.10154_F1E327BC-269C-435d-A152-05C5408002CA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2020-06-04T05:22:00Z</dcterms:created>
  <dc:creator>hongbing liu</dc:creator>
  <cp:lastModifiedBy>YIKNETHNIGJXR97</cp:lastModifiedBy>
  <dcterms:modified xsi:type="dcterms:W3CDTF">2025-02-06T11:04:48Z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y fmtid="{D5CDD505-2E9C-101B-9397-08002B2CF9AE}" pid="3" name="ICV">
    <vt:lpwstr>4E2A216151A24EE5A190066F518526B7</vt:lpwstr>
  </property>
</Properties>
</file>