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eastAsia="zh-CN"/>
        </w:rPr>
      </w:pPr>
      <w:r>
        <w:rPr>
          <w:rFonts w:hint="eastAsia" w:ascii="方正小标宋_GBK" w:hAnsi="宋体" w:eastAsia="方正小标宋_GBK"/>
          <w:color w:val="auto"/>
          <w:sz w:val="44"/>
          <w:szCs w:val="44"/>
          <w:highlight w:val="none"/>
          <w:lang w:val="en-US" w:eastAsia="zh-CN"/>
        </w:rPr>
        <w:t>中国人民政治协商会议新疆维吾尔自治区库尔勒市委员会</w:t>
      </w:r>
      <w:r>
        <w:rPr>
          <w:rFonts w:hint="eastAsia" w:ascii="方正小标宋_GBK" w:hAnsi="宋体" w:eastAsia="方正小标宋_GBK"/>
          <w:color w:val="auto"/>
          <w:sz w:val="44"/>
          <w:szCs w:val="44"/>
          <w:highlight w:val="none"/>
          <w:lang w:eastAsia="zh-CN"/>
        </w:rPr>
        <w:t>2023年度</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部门决算公开说明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政协库尔勒市委员会办公室是政协机关的综合性、协调 性、 服务性机构，是政协机关职能的主要动作机构，政协的 各项活动 和工作都要通过这一机构来组织实施，政协办公室 工作直接关系 到整个政协工作的质量和水平。 主要职责：负 责市政协全体会 议、常委会议、主席会议、专题座谈会以及 其他重要会议、活动 的组织、协商、服务和文稿起草工作。 负责政协机关公文处理、 文书档案、机要保密等工作和机关 办公自动化工作。负责与州政 协和市党委、市人大、市政府 办公室及有关部门的联系、协调工 作。负责与政协委员联络 站的联系、指导和协调工作，协助各专委会做好视察、调研等 服务工作，及时了解和掌握活动开展情况。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中国人民政治协商会议新疆维吾尔自治区库尔勒市委员会</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55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20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35</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535.27万元，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535.27万元，使用非财政拨款结余0.00万元，年初结转和结余0.00万元。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535.27万元，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535.27万元，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增加91.15万元</w:t>
      </w:r>
      <w:r>
        <w:rPr>
          <w:rFonts w:hint="eastAsia" w:ascii="仿宋_GB2312" w:eastAsia="仿宋_GB2312"/>
          <w:color w:val="auto"/>
          <w:spacing w:val="0"/>
          <w:sz w:val="32"/>
          <w:szCs w:val="32"/>
          <w:highlight w:val="none"/>
          <w:lang w:eastAsia="zh-CN"/>
        </w:rPr>
        <w:t>，增长20.52%，主要原因是：</w:t>
      </w:r>
      <w:r>
        <w:rPr>
          <w:rFonts w:hint="eastAsia" w:ascii="仿宋_GB2312" w:eastAsia="仿宋_GB2312"/>
          <w:color w:val="auto"/>
          <w:spacing w:val="0"/>
          <w:sz w:val="32"/>
          <w:szCs w:val="32"/>
          <w:highlight w:val="none"/>
          <w:lang w:val="en-US" w:eastAsia="zh-CN"/>
        </w:rPr>
        <w:t>2023年度退休人员增加1人；工资增加，社保缴费基数增加，所以收入支出较上年增加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535.27</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535.27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本年支出535.27万元，其中：基本支出515.77万元，占96.36%；项目支出19.50万元，占3.64%；上缴上级支出0.00万元，占0.00%；经营支出0.00万元，占0.00%；对附属单位补助支出0.00万元，占0.00%。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535.27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535.27</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535.27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535.27</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增加91.15万元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增长20.52%,</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2023年度退休人员增加1人；工资、社保缴费基数增加，所以收入支出较上年增加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472.17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535.27</w:t>
      </w:r>
      <w:r>
        <w:rPr>
          <w:rFonts w:hint="eastAsia" w:ascii="仿宋_GB2312" w:eastAsia="仿宋_GB2312"/>
          <w:color w:val="auto"/>
          <w:spacing w:val="0"/>
          <w:sz w:val="32"/>
          <w:szCs w:val="32"/>
          <w:highlight w:val="none"/>
          <w:lang w:eastAsia="zh-CN"/>
        </w:rPr>
        <w:t>万元，预决算差异率13.36%，主要原因是：</w:t>
      </w:r>
      <w:r>
        <w:rPr>
          <w:rFonts w:hint="eastAsia" w:ascii="仿宋_GB2312" w:eastAsia="仿宋_GB2312"/>
          <w:color w:val="auto"/>
          <w:spacing w:val="0"/>
          <w:sz w:val="32"/>
          <w:szCs w:val="32"/>
          <w:highlight w:val="none"/>
          <w:lang w:val="en-US" w:eastAsia="zh-CN"/>
        </w:rPr>
        <w:t>2023年度退休人员增加1人；工资、社保缴费基数增加，所以收入支出较上年增加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2023年度一般公共预算财政拨款支出535.27万元，占本年支出合计的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增加91.15万元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增长20.52%,</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2023年度退休人员增加1人；工资、社保缴费基数增加，所以收入支出较上年增加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472.17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535.27</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13.36%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2023年度退休人员增加1人；工资、社保缴费基数增加，所以收入支出较上年增加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337.65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63.08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0.75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0.14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135.19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25.26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33.63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6.28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5</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28.05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5.24</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1.一般公共服务支出（类）政协事务（款）行政运行（项）:支出决算数为318.15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25.83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8.84%，主要原因是：</w:t>
      </w:r>
      <w:r>
        <w:rPr>
          <w:rFonts w:hint="eastAsia" w:ascii="仿宋_GB2312" w:eastAsia="仿宋_GB2312"/>
          <w:color w:val="auto"/>
          <w:spacing w:val="0"/>
          <w:sz w:val="32"/>
          <w:szCs w:val="32"/>
          <w:highlight w:val="none"/>
          <w:lang w:val="en-US" w:eastAsia="zh-CN"/>
        </w:rPr>
        <w:t>2023年度退休人员增加1人；工资、社保缴费基数增加，所以收入支出较上年增加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2.一般公共服务支出（类）政协事务（款）政协会议（项）:支出决算数为7.00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2023年度新增加的项目支出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3.一般公共服务支出（类）政协事务（款）委员视察（项）:支出决算数为6.00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2023年度新增加的项目支出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4.</w:t>
      </w:r>
      <w:r>
        <w:rPr>
          <w:rFonts w:hint="eastAsia" w:ascii="Times New Roman" w:hAnsi="Times New Roman" w:eastAsia="仿宋_GB2312" w:cs="Times New Roman"/>
          <w:color w:val="auto"/>
          <w:kern w:val="2"/>
          <w:sz w:val="32"/>
          <w:szCs w:val="32"/>
          <w:highlight w:val="none"/>
          <w:lang w:val="en-US" w:eastAsia="zh-CN" w:bidi="ar-SA"/>
        </w:rPr>
        <w:t>一般公共服务支出（类）政协事务（款）参政议政（项）:支出决算数为2.00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0.88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30.44%，主要原因是：本年将一般公共服务支出（类）政协事务（款）</w:t>
      </w:r>
      <w:r>
        <w:rPr>
          <w:rFonts w:hint="eastAsia" w:eastAsia="仿宋_GB2312" w:cs="Times New Roman"/>
          <w:color w:val="auto"/>
          <w:kern w:val="2"/>
          <w:sz w:val="32"/>
          <w:szCs w:val="32"/>
          <w:highlight w:val="none"/>
          <w:lang w:val="en-US" w:eastAsia="zh-CN" w:bidi="ar-SA"/>
        </w:rPr>
        <w:t>政协会议</w:t>
      </w:r>
      <w:r>
        <w:rPr>
          <w:rFonts w:hint="eastAsia" w:ascii="Times New Roman" w:hAnsi="Times New Roman" w:eastAsia="仿宋_GB2312" w:cs="Times New Roman"/>
          <w:color w:val="auto"/>
          <w:kern w:val="2"/>
          <w:sz w:val="32"/>
          <w:szCs w:val="32"/>
          <w:highlight w:val="none"/>
          <w:lang w:val="en-US" w:eastAsia="zh-CN" w:bidi="ar-SA"/>
        </w:rPr>
        <w:t>支出（项）及政协事务（款）委员视察（项）调出本科目核算，</w:t>
      </w:r>
      <w:r>
        <w:rPr>
          <w:rFonts w:hint="eastAsia" w:eastAsia="仿宋_GB2312" w:cs="Times New Roman"/>
          <w:color w:val="auto"/>
          <w:kern w:val="2"/>
          <w:sz w:val="32"/>
          <w:szCs w:val="32"/>
          <w:highlight w:val="none"/>
          <w:lang w:val="en-US" w:eastAsia="zh-CN" w:bidi="ar-SA"/>
        </w:rPr>
        <w:t>参政议政</w:t>
      </w:r>
      <w:r>
        <w:rPr>
          <w:rFonts w:hint="eastAsia" w:ascii="Times New Roman" w:hAnsi="Times New Roman" w:eastAsia="仿宋_GB2312" w:cs="Times New Roman"/>
          <w:color w:val="auto"/>
          <w:kern w:val="2"/>
          <w:sz w:val="32"/>
          <w:szCs w:val="32"/>
          <w:highlight w:val="none"/>
          <w:lang w:val="en-US" w:eastAsia="zh-CN" w:bidi="ar-SA"/>
        </w:rPr>
        <w:t>较上年减少。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一般公共服务支出（类）政协事务（款）其他政协事务支出（项）:支出决算数为4.50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100%，主要原因是：2023年将一般公共服务支出（类）政协事务（款）其他政协事务支出</w:t>
      </w:r>
      <w:r>
        <w:rPr>
          <w:rFonts w:hint="eastAsia" w:eastAsia="仿宋_GB2312" w:cs="Times New Roman"/>
          <w:color w:val="auto"/>
          <w:kern w:val="2"/>
          <w:sz w:val="32"/>
          <w:szCs w:val="32"/>
          <w:highlight w:val="none"/>
          <w:lang w:val="en-US" w:eastAsia="zh-CN" w:bidi="ar-SA"/>
        </w:rPr>
        <w:t>调整至其他政协事务支出</w:t>
      </w:r>
      <w:r>
        <w:rPr>
          <w:rFonts w:hint="eastAsia" w:ascii="Times New Roman" w:hAnsi="Times New Roman" w:eastAsia="仿宋_GB2312" w:cs="Times New Roman"/>
          <w:color w:val="auto"/>
          <w:kern w:val="2"/>
          <w:sz w:val="32"/>
          <w:szCs w:val="32"/>
          <w:highlight w:val="none"/>
          <w:lang w:val="en-US" w:eastAsia="zh-CN" w:bidi="ar-SA"/>
        </w:rPr>
        <w:t>，导致较上年增长</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6.</w:t>
      </w:r>
      <w:r>
        <w:rPr>
          <w:rFonts w:hint="eastAsia" w:ascii="Times New Roman" w:hAnsi="Times New Roman" w:eastAsia="仿宋_GB2312" w:cs="Times New Roman"/>
          <w:color w:val="auto"/>
          <w:kern w:val="2"/>
          <w:sz w:val="32"/>
          <w:szCs w:val="32"/>
          <w:highlight w:val="none"/>
          <w:lang w:val="en-US" w:eastAsia="zh-CN" w:bidi="ar-SA"/>
        </w:rPr>
        <w:t>教育支出（类）进修及培训（款）培训支出（项）:支出决算数为0.75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0.72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2210.46%，主要原因是：</w:t>
      </w:r>
      <w:r>
        <w:rPr>
          <w:rFonts w:hint="eastAsia" w:eastAsia="仿宋_GB2312" w:cs="Times New Roman"/>
          <w:color w:val="auto"/>
          <w:kern w:val="2"/>
          <w:sz w:val="32"/>
          <w:szCs w:val="32"/>
          <w:highlight w:val="none"/>
          <w:lang w:val="en-US" w:eastAsia="zh-CN" w:bidi="ar-SA"/>
        </w:rPr>
        <w:t>2023年度</w:t>
      </w:r>
      <w:r>
        <w:rPr>
          <w:rFonts w:hint="eastAsia" w:ascii="Times New Roman" w:hAnsi="Times New Roman" w:eastAsia="仿宋_GB2312" w:cs="Times New Roman"/>
          <w:color w:val="auto"/>
          <w:kern w:val="2"/>
          <w:sz w:val="32"/>
          <w:szCs w:val="32"/>
          <w:highlight w:val="none"/>
          <w:lang w:val="en-US" w:eastAsia="zh-CN" w:bidi="ar-SA"/>
        </w:rPr>
        <w:t>在职人员</w:t>
      </w:r>
      <w:r>
        <w:rPr>
          <w:rFonts w:hint="eastAsia" w:eastAsia="仿宋_GB2312" w:cs="Times New Roman"/>
          <w:color w:val="auto"/>
          <w:kern w:val="2"/>
          <w:sz w:val="32"/>
          <w:szCs w:val="32"/>
          <w:highlight w:val="none"/>
          <w:lang w:val="en-US" w:eastAsia="zh-CN" w:bidi="ar-SA"/>
        </w:rPr>
        <w:t>培训次数增加</w:t>
      </w:r>
      <w:r>
        <w:rPr>
          <w:rFonts w:hint="eastAsia" w:ascii="Times New Roman" w:hAnsi="Times New Roman" w:eastAsia="仿宋_GB2312" w:cs="Times New Roman"/>
          <w:color w:val="auto"/>
          <w:kern w:val="2"/>
          <w:sz w:val="32"/>
          <w:szCs w:val="32"/>
          <w:highlight w:val="none"/>
          <w:lang w:val="en-US" w:eastAsia="zh-CN" w:bidi="ar-SA"/>
        </w:rPr>
        <w:t>，培训支出较上年</w:t>
      </w:r>
      <w:r>
        <w:rPr>
          <w:rFonts w:hint="eastAsia" w:eastAsia="仿宋_GB2312" w:cs="Times New Roman"/>
          <w:color w:val="auto"/>
          <w:kern w:val="2"/>
          <w:sz w:val="32"/>
          <w:szCs w:val="32"/>
          <w:highlight w:val="none"/>
          <w:lang w:val="en-US" w:eastAsia="zh-CN" w:bidi="ar-SA"/>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社会保障和就业支出（类）行政事业单位养老支出（款）行政单位离退休（项）:支出决算数为83.36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70.68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557.26%，主要原因是：本年离退休人员增加，</w:t>
      </w:r>
      <w:r>
        <w:rPr>
          <w:rFonts w:hint="eastAsia" w:eastAsia="仿宋_GB2312" w:cs="Times New Roman"/>
          <w:color w:val="auto"/>
          <w:kern w:val="2"/>
          <w:sz w:val="32"/>
          <w:szCs w:val="32"/>
          <w:highlight w:val="none"/>
          <w:lang w:val="en-US" w:eastAsia="zh-CN" w:bidi="ar-SA"/>
        </w:rPr>
        <w:t>支出</w:t>
      </w:r>
      <w:r>
        <w:rPr>
          <w:rFonts w:hint="eastAsia" w:ascii="Times New Roman" w:hAnsi="Times New Roman" w:eastAsia="仿宋_GB2312" w:cs="Times New Roman"/>
          <w:color w:val="auto"/>
          <w:kern w:val="2"/>
          <w:sz w:val="32"/>
          <w:szCs w:val="32"/>
          <w:highlight w:val="none"/>
          <w:lang w:val="en-US" w:eastAsia="zh-CN" w:bidi="ar-SA"/>
        </w:rPr>
        <w:t>较上年增加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8.</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社会保障和就业支出（类）行政事业单位养老支出（款）机关事业单位基本养老保险缴费支出（项）:支出决算数为38.71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3.65%，主要原因是：本年机关事业单位基本养老保险缴费基数调整，</w:t>
      </w:r>
      <w:r>
        <w:rPr>
          <w:rFonts w:hint="eastAsia" w:eastAsia="仿宋_GB2312" w:cs="Times New Roman"/>
          <w:color w:val="auto"/>
          <w:kern w:val="2"/>
          <w:sz w:val="32"/>
          <w:szCs w:val="32"/>
          <w:highlight w:val="none"/>
          <w:lang w:val="en-US" w:eastAsia="zh-CN" w:bidi="ar-SA"/>
        </w:rPr>
        <w:t>支出</w:t>
      </w:r>
      <w:r>
        <w:rPr>
          <w:rFonts w:hint="eastAsia" w:ascii="Times New Roman" w:hAnsi="Times New Roman" w:eastAsia="仿宋_GB2312" w:cs="Times New Roman"/>
          <w:color w:val="auto"/>
          <w:kern w:val="2"/>
          <w:sz w:val="32"/>
          <w:szCs w:val="32"/>
          <w:highlight w:val="none"/>
          <w:lang w:val="en-US" w:eastAsia="zh-CN" w:bidi="ar-SA"/>
        </w:rPr>
        <w:t>较上年增加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社会保障和就业支出（类）行政事业单位养老支出（款）机关事业单位职业年金缴费支出（项）:支出决算数为13.12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11.36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46.41%，主要原因是：</w:t>
      </w:r>
      <w:r>
        <w:rPr>
          <w:rFonts w:hint="eastAsia" w:eastAsia="仿宋_GB2312" w:cs="Times New Roman"/>
          <w:color w:val="auto"/>
          <w:kern w:val="2"/>
          <w:sz w:val="32"/>
          <w:szCs w:val="32"/>
          <w:highlight w:val="none"/>
          <w:lang w:val="en-US" w:eastAsia="zh-CN" w:bidi="ar-SA"/>
        </w:rPr>
        <w:t>2022年度退休人员为3人，2023年度退休为1人，较上年度减少，支出较上年度减少。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10.</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卫生健康支出（类）行政事业单位医疗（款）行政单位医疗（项）:支出决算数为26.69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5.14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16.14%，主要原因是：</w:t>
      </w:r>
      <w:r>
        <w:rPr>
          <w:rFonts w:hint="eastAsia" w:eastAsia="仿宋_GB2312" w:cs="Times New Roman"/>
          <w:color w:val="auto"/>
          <w:kern w:val="2"/>
          <w:sz w:val="32"/>
          <w:szCs w:val="32"/>
          <w:highlight w:val="none"/>
          <w:lang w:val="en-US" w:eastAsia="zh-CN" w:bidi="ar-SA"/>
        </w:rPr>
        <w:t>本年度下半年退休人员停止缴纳医疗保险，支出较上年度减少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11</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.卫生健康支出（类）行政事业单位医疗（款）公务员医疗补助（项）:支出决算数为6.94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6.61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48.81%，主要原因是：</w:t>
      </w:r>
      <w:r>
        <w:rPr>
          <w:rFonts w:hint="eastAsia" w:eastAsia="仿宋_GB2312" w:cs="Times New Roman"/>
          <w:color w:val="auto"/>
          <w:kern w:val="2"/>
          <w:sz w:val="32"/>
          <w:szCs w:val="32"/>
          <w:highlight w:val="none"/>
          <w:lang w:val="en-US" w:eastAsia="zh-CN" w:bidi="ar-SA"/>
        </w:rPr>
        <w:t>本年度下半年退休人员停止缴纳医疗保险，支出较上年度减少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12</w:t>
      </w:r>
      <w:r>
        <w:rPr>
          <w:rFonts w:hint="eastAsia" w:ascii="Times New Roman" w:hAnsi="Times New Roman" w:eastAsia="仿宋_GB2312" w:cs="Times New Roman"/>
          <w:color w:val="auto"/>
          <w:kern w:val="2"/>
          <w:sz w:val="32"/>
          <w:szCs w:val="32"/>
          <w:highlight w:val="none"/>
          <w:lang w:val="en-US" w:eastAsia="zh-CN" w:bidi="ar-SA"/>
        </w:rPr>
        <w:t>.住房保障支出（类）住房改革支出（款）住房公积金（项）:支出决算数为28.05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0.95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3.27%，主要原因是：</w:t>
      </w:r>
      <w:r>
        <w:rPr>
          <w:rFonts w:hint="eastAsia" w:eastAsia="仿宋_GB2312" w:cs="Times New Roman"/>
          <w:color w:val="auto"/>
          <w:kern w:val="2"/>
          <w:sz w:val="32"/>
          <w:szCs w:val="32"/>
          <w:highlight w:val="none"/>
          <w:lang w:val="en-US" w:eastAsia="zh-CN" w:bidi="ar-SA"/>
        </w:rPr>
        <w:t>2023年度公积金缴费基数减少，支出较上年减少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515.77</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478.95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基本工资、津贴补贴、奖金、机关事业单位基本养老保险缴费、职业年金缴费、职工基本医疗保险缴费、公务员医疗补助缴费、其他社会保障缴费、住房公积金、退休费、抚恤金、生活补助、医疗费补助。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36.82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办公费、培训费、工会经费、福利费、公务用车购置</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“三公”经费支出16.49万元，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增加16.49万元，</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购买红旗H7轿车一辆</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无因公出</w:t>
      </w:r>
      <w:r>
        <w:rPr>
          <w:rFonts w:hint="eastAsia" w:ascii="仿宋_GB2312" w:eastAsia="仿宋_GB2312"/>
          <w:color w:val="auto"/>
          <w:sz w:val="32"/>
          <w:szCs w:val="32"/>
          <w:highlight w:val="none"/>
          <w:lang w:val="zh-CN" w:eastAsia="zh-CN"/>
        </w:rPr>
        <w:t>国（境）费支出；公务用车购置及运行维护费支出16.49万元，占100.00%，比上年增加16.49万元，</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购买红旗H7轿车一辆</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公务用车购置及运行维护费16.49万元，其中：公务用车购置费16.49万元，公务用车运行维护费0.00万元。公务用车运行维护费开支内容包括公务用车购置</w:t>
      </w:r>
      <w:r>
        <w:rPr>
          <w:rFonts w:hint="eastAsia" w:ascii="仿宋_GB2312" w:eastAsia="仿宋_GB2312"/>
          <w:color w:val="auto"/>
          <w:sz w:val="32"/>
          <w:szCs w:val="32"/>
          <w:highlight w:val="none"/>
          <w:lang w:val="en-US" w:eastAsia="zh-CN"/>
        </w:rPr>
        <w:t>费</w:t>
      </w:r>
      <w:r>
        <w:rPr>
          <w:rFonts w:hint="eastAsia" w:ascii="仿宋_GB2312" w:eastAsia="仿宋_GB2312"/>
          <w:color w:val="auto"/>
          <w:sz w:val="32"/>
          <w:szCs w:val="32"/>
          <w:highlight w:val="none"/>
          <w:lang w:val="zh-CN" w:eastAsia="zh-CN"/>
        </w:rPr>
        <w:t>。公务用车购置数1辆，公务用车保有量0辆。国有资产占用情况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8辆，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公务接待费。单位全年安排的国内公务接待0批次，0人次。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预算数16.49万元，决算数16.49万元，预决算差异率0.00%，主要原因是：</w:t>
      </w:r>
      <w:r>
        <w:rPr>
          <w:rFonts w:hint="eastAsia" w:ascii="仿宋_GB2312" w:eastAsia="仿宋_GB2312"/>
          <w:color w:val="auto"/>
          <w:sz w:val="32"/>
          <w:szCs w:val="32"/>
          <w:highlight w:val="none"/>
          <w:lang w:val="en-US" w:eastAsia="zh-CN"/>
        </w:rPr>
        <w:t>购买红旗H7轿车一辆</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因公出国（境）</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预算数16.49万元，决算数16.49万元，预决算差异率0.00%，主要原因是：</w:t>
      </w:r>
      <w:r>
        <w:rPr>
          <w:rFonts w:hint="eastAsia" w:ascii="仿宋_GB2312" w:eastAsia="仿宋_GB2312"/>
          <w:color w:val="auto"/>
          <w:sz w:val="32"/>
          <w:szCs w:val="32"/>
          <w:highlight w:val="none"/>
          <w:lang w:val="en-US" w:eastAsia="zh-CN"/>
        </w:rPr>
        <w:t>购买红旗H7轿车一辆</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预决算一致无差异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1"/>
        <w:rPr>
          <w:rFonts w:hint="default" w:ascii="黑体" w:hAnsi="黑体" w:eastAsia="黑体" w:cs="宋体"/>
          <w:bCs/>
          <w:color w:val="auto"/>
          <w:kern w:val="0"/>
          <w:sz w:val="32"/>
          <w:szCs w:val="32"/>
          <w:highlight w:val="none"/>
          <w:lang w:val="en-US" w:eastAsia="zh-CN"/>
        </w:rPr>
      </w:pPr>
      <w:r>
        <w:rPr>
          <w:rFonts w:hint="eastAsia" w:ascii="黑体" w:hAnsi="黑体" w:eastAsia="黑体" w:cs="宋体"/>
          <w:bCs/>
          <w:color w:val="auto"/>
          <w:kern w:val="0"/>
          <w:sz w:val="32"/>
          <w:szCs w:val="32"/>
          <w:highlight w:val="none"/>
          <w:lang w:val="en-US" w:eastAsia="zh-CN"/>
        </w:rPr>
        <w:t xml:space="preserve">     </w:t>
      </w:r>
      <w:r>
        <w:rPr>
          <w:rFonts w:hint="eastAsia" w:ascii="仿宋_GB2312" w:eastAsia="仿宋_GB2312"/>
          <w:color w:val="auto"/>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中国人民政治协商会议新疆维吾尔自治区库尔勒市委员会（行政单位和参照公务员法管理事业单位）机关运行经费支出36.82万元，</w:t>
      </w:r>
      <w:r>
        <w:rPr>
          <w:rFonts w:hint="eastAsia" w:ascii="Times New Roman" w:hAnsi="Times New Roman" w:eastAsia="仿宋_GB2312" w:cs="Times New Roman"/>
          <w:color w:val="auto"/>
          <w:sz w:val="32"/>
          <w:szCs w:val="32"/>
          <w:highlight w:val="none"/>
          <w:lang w:val="zh-CN" w:eastAsia="zh-CN"/>
        </w:rPr>
        <w:t>比上年增加36.25万元，增长6319.26%，主要原因是：</w:t>
      </w:r>
      <w:r>
        <w:rPr>
          <w:rFonts w:hint="eastAsia" w:ascii="仿宋_GB2312" w:eastAsia="仿宋_GB2312"/>
          <w:color w:val="auto"/>
          <w:spacing w:val="0"/>
          <w:sz w:val="32"/>
          <w:szCs w:val="32"/>
          <w:highlight w:val="none"/>
          <w:lang w:val="en-US" w:eastAsia="zh-CN"/>
        </w:rPr>
        <w:t>2023年度退休人员增加1人；工资、社保缴费基数增加，所以收入支出较上年增加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17.49万元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其中：政府采购货物支出17.18万元、政府采购工程支出0.00万元、政府采购服务支出0.31万元。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授予中小企业合同金额1.00万元，占政府采购支出总额的5.71</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，其中：授予小微企业合同金额1.00万元，占政府采购支出总额的5.71</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243.63</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屋0.00平方米，价值0.00万元。车辆8辆，价值134.46万元，其中：副部（省）级及以上领导用车0辆、主要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用车0辆、其他用车8辆，其他用车主要是：</w:t>
      </w:r>
      <w:r>
        <w:rPr>
          <w:rFonts w:hint="eastAsia" w:eastAsia="仿宋_GB2312" w:cs="Times New Roman"/>
          <w:color w:val="auto"/>
          <w:sz w:val="32"/>
          <w:szCs w:val="32"/>
          <w:highlight w:val="none"/>
          <w:lang w:val="en-US" w:eastAsia="zh-CN"/>
        </w:rPr>
        <w:t>一般公务用车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Hans"/>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Fonts w:hint="eastAsia" w:ascii="仿宋_GB2312" w:eastAsia="仿宋_GB2312"/>
          <w:color w:val="auto"/>
          <w:spacing w:val="0"/>
          <w:sz w:val="32"/>
          <w:szCs w:val="32"/>
          <w:highlight w:val="none"/>
          <w:lang w:eastAsia="zh-CN"/>
        </w:rPr>
        <w:t>535.27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eastAsia" w:ascii="仿宋_GB2312" w:eastAsia="仿宋_GB2312"/>
          <w:color w:val="auto"/>
          <w:spacing w:val="0"/>
          <w:sz w:val="32"/>
          <w:szCs w:val="32"/>
          <w:highlight w:val="none"/>
          <w:lang w:eastAsia="zh-CN"/>
        </w:rPr>
        <w:t>535.27</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全年预算数19.5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全年执行数19.5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w:t>
      </w:r>
      <w:r>
        <w:rPr>
          <w:rFonts w:hint="eastAsia" w:ascii="仿宋_GB2312" w:hAnsi="宋体" w:eastAsia="仿宋_GB2312"/>
          <w:bCs/>
          <w:sz w:val="32"/>
          <w:szCs w:val="32"/>
        </w:rPr>
        <w:t>通过绩效评价分析部门整体支出对单位基本运转及单位职能履职的保障作用，总结经验做法，找出资金使用和管理中的薄弱环节</w:t>
      </w:r>
      <w:r>
        <w:rPr>
          <w:rFonts w:hint="eastAsia" w:ascii="仿宋_GB2312" w:eastAsia="仿宋_GB2312"/>
          <w:color w:val="auto"/>
          <w:sz w:val="32"/>
          <w:szCs w:val="32"/>
          <w:highlight w:val="none"/>
          <w:lang w:eastAsia="zh-CN"/>
        </w:rPr>
        <w:t>；二是</w:t>
      </w:r>
      <w:r>
        <w:rPr>
          <w:rFonts w:hint="eastAsia" w:ascii="仿宋_GB2312" w:hAnsi="宋体" w:eastAsia="仿宋_GB2312"/>
          <w:bCs/>
          <w:sz w:val="32"/>
          <w:szCs w:val="32"/>
        </w:rPr>
        <w:t>进一步加强预算管理，提高财政资金使用效益</w:t>
      </w:r>
      <w:r>
        <w:rPr>
          <w:rFonts w:hint="eastAsia" w:ascii="仿宋_GB2312" w:eastAsia="仿宋_GB2312"/>
          <w:color w:val="auto"/>
          <w:sz w:val="32"/>
          <w:szCs w:val="32"/>
          <w:highlight w:val="none"/>
          <w:lang w:eastAsia="zh-CN"/>
        </w:rPr>
        <w:t>。发现的问题及原因：一是</w:t>
      </w:r>
      <w:r>
        <w:rPr>
          <w:rFonts w:hint="eastAsia" w:ascii="仿宋_GB2312" w:hAnsi="宋体" w:eastAsia="仿宋_GB2312"/>
          <w:bCs/>
          <w:sz w:val="32"/>
          <w:szCs w:val="32"/>
        </w:rPr>
        <w:t>预算管理</w:t>
      </w:r>
      <w:r>
        <w:rPr>
          <w:rFonts w:hint="eastAsia" w:ascii="仿宋_GB2312" w:hAnsi="宋体" w:eastAsia="仿宋_GB2312"/>
          <w:bCs/>
          <w:sz w:val="32"/>
          <w:szCs w:val="32"/>
          <w:lang w:eastAsia="zh-CN"/>
        </w:rPr>
        <w:t>主体</w:t>
      </w:r>
      <w:bookmarkStart w:id="40" w:name="_GoBack"/>
      <w:bookmarkEnd w:id="40"/>
      <w:r>
        <w:rPr>
          <w:rFonts w:hint="eastAsia" w:ascii="仿宋_GB2312" w:hAnsi="宋体" w:eastAsia="仿宋_GB2312"/>
          <w:bCs/>
          <w:sz w:val="32"/>
          <w:szCs w:val="32"/>
        </w:rPr>
        <w:t>责任落实不够到位</w:t>
      </w:r>
      <w:r>
        <w:rPr>
          <w:rFonts w:hint="eastAsia" w:ascii="仿宋_GB2312" w:eastAsia="仿宋_GB2312"/>
          <w:color w:val="auto"/>
          <w:sz w:val="32"/>
          <w:szCs w:val="32"/>
          <w:highlight w:val="none"/>
          <w:lang w:eastAsia="zh-CN"/>
        </w:rPr>
        <w:t>；二是</w:t>
      </w:r>
      <w:r>
        <w:rPr>
          <w:rFonts w:hint="eastAsia" w:ascii="仿宋_GB2312" w:hAnsi="宋体" w:eastAsia="仿宋_GB2312"/>
          <w:bCs/>
          <w:sz w:val="32"/>
          <w:szCs w:val="32"/>
        </w:rPr>
        <w:t>预算绩效管理水平不足</w:t>
      </w:r>
      <w:r>
        <w:rPr>
          <w:rFonts w:hint="eastAsia" w:ascii="仿宋_GB2312" w:eastAsia="仿宋_GB2312"/>
          <w:color w:val="auto"/>
          <w:sz w:val="32"/>
          <w:szCs w:val="32"/>
          <w:highlight w:val="none"/>
          <w:lang w:eastAsia="zh-CN"/>
        </w:rPr>
        <w:t>。下一步改进措施：一是</w:t>
      </w:r>
      <w:r>
        <w:rPr>
          <w:rFonts w:hint="eastAsia" w:ascii="仿宋_GB2312" w:hAnsi="宋体" w:eastAsia="仿宋_GB2312"/>
          <w:bCs/>
          <w:sz w:val="32"/>
          <w:szCs w:val="32"/>
        </w:rPr>
        <w:t>强化预算绩效管理责任意识</w:t>
      </w:r>
      <w:r>
        <w:rPr>
          <w:rFonts w:hint="eastAsia" w:ascii="仿宋_GB2312" w:eastAsia="仿宋_GB2312"/>
          <w:color w:val="auto"/>
          <w:sz w:val="32"/>
          <w:szCs w:val="32"/>
          <w:highlight w:val="none"/>
          <w:lang w:eastAsia="zh-CN"/>
        </w:rPr>
        <w:t>；二是</w:t>
      </w:r>
      <w:r>
        <w:rPr>
          <w:rFonts w:hint="eastAsia" w:ascii="仿宋_GB2312" w:hAnsi="宋体" w:eastAsia="仿宋_GB2312"/>
          <w:bCs/>
          <w:sz w:val="32"/>
          <w:szCs w:val="32"/>
        </w:rPr>
        <w:t>有效提升预算绩效管理质量</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仿宋_GB2312" w:cs="宋体"/>
          <w:bCs/>
          <w:color w:val="auto"/>
          <w:kern w:val="0"/>
          <w:sz w:val="32"/>
          <w:szCs w:val="32"/>
          <w:highlight w:val="none"/>
          <w:lang w:eastAsia="zh-CN"/>
        </w:rPr>
      </w:pPr>
      <w:r>
        <w:drawing>
          <wp:anchor distT="0" distB="0" distL="114300" distR="114300" simplePos="0" relativeHeight="251659264" behindDoc="0" locked="0" layoutInCell="1" allowOverlap="1">
            <wp:simplePos x="0" y="0"/>
            <wp:positionH relativeFrom="column">
              <wp:posOffset>266700</wp:posOffset>
            </wp:positionH>
            <wp:positionV relativeFrom="page">
              <wp:posOffset>1710690</wp:posOffset>
            </wp:positionV>
            <wp:extent cx="5266690" cy="5140960"/>
            <wp:effectExtent l="0" t="0" r="10160" b="2540"/>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5266690" cy="5140960"/>
                    </a:xfrm>
                    <a:prstGeom prst="rect">
                      <a:avLst/>
                    </a:prstGeom>
                    <a:noFill/>
                    <a:ln>
                      <a:noFill/>
                    </a:ln>
                  </pic:spPr>
                </pic:pic>
              </a:graphicData>
            </a:graphic>
          </wp:anchor>
        </w:drawing>
      </w:r>
    </w:p>
    <w:p>
      <w:pPr>
        <w:rPr>
          <w:rFonts w:hint="eastAsia" w:ascii="黑体" w:hAnsi="黑体" w:eastAsia="仿宋_GB2312" w:cs="宋体"/>
          <w:bCs/>
          <w:color w:val="auto"/>
          <w:kern w:val="0"/>
          <w:sz w:val="32"/>
          <w:szCs w:val="32"/>
          <w:highlight w:val="none"/>
        </w:rPr>
      </w:pPr>
      <w:bookmarkStart w:id="32" w:name="_Toc24532"/>
      <w:bookmarkStart w:id="33" w:name="_Toc30364"/>
      <w:r>
        <w:rPr>
          <w:rFonts w:hint="eastAsia" w:ascii="黑体" w:hAnsi="黑体" w:eastAsia="仿宋_GB2312" w:cs="宋体"/>
          <w:bCs/>
          <w:color w:val="auto"/>
          <w:kern w:val="0"/>
          <w:sz w:val="32"/>
          <w:szCs w:val="32"/>
          <w:highlight w:val="none"/>
        </w:rPr>
        <w:br w:type="page"/>
      </w:r>
    </w:p>
    <w:bookmarkEnd w:id="32"/>
    <w:bookmarkEnd w:id="33"/>
    <w:p>
      <w:pPr>
        <w:rPr>
          <w:rFonts w:hint="eastAsia" w:ascii="黑体" w:hAnsi="黑体" w:eastAsia="仿宋_GB2312" w:cs="宋体"/>
          <w:bCs/>
          <w:color w:val="auto"/>
          <w:kern w:val="0"/>
          <w:sz w:val="32"/>
          <w:szCs w:val="32"/>
          <w:highlight w:val="none"/>
        </w:rPr>
      </w:pPr>
      <w:r>
        <w:drawing>
          <wp:anchor distT="0" distB="0" distL="114300" distR="114300" simplePos="0" relativeHeight="251660288" behindDoc="0" locked="0" layoutInCell="1" allowOverlap="1">
            <wp:simplePos x="0" y="0"/>
            <wp:positionH relativeFrom="column">
              <wp:align>center</wp:align>
            </wp:positionH>
            <wp:positionV relativeFrom="page">
              <wp:posOffset>929005</wp:posOffset>
            </wp:positionV>
            <wp:extent cx="5264150" cy="3723640"/>
            <wp:effectExtent l="0" t="0" r="12700" b="10160"/>
            <wp:wrapSquare wrapText="bothSides"/>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5264150" cy="3723640"/>
                    </a:xfrm>
                    <a:prstGeom prst="rect">
                      <a:avLst/>
                    </a:prstGeom>
                    <a:noFill/>
                    <a:ln>
                      <a:noFill/>
                    </a:ln>
                  </pic:spPr>
                </pic:pic>
              </a:graphicData>
            </a:graphic>
          </wp:anchor>
        </w:drawing>
      </w:r>
      <w:r>
        <w:rPr>
          <w:rFonts w:hint="eastAsia" w:ascii="黑体" w:hAnsi="黑体" w:eastAsia="仿宋_GB2312" w:cs="宋体"/>
          <w:bCs/>
          <w:color w:val="auto"/>
          <w:kern w:val="0"/>
          <w:sz w:val="32"/>
          <w:szCs w:val="32"/>
          <w:highlight w:val="none"/>
        </w:rPr>
        <w:br w:type="page"/>
      </w:r>
    </w:p>
    <w:p>
      <w:pPr>
        <w:rPr>
          <w:rFonts w:hint="eastAsia" w:ascii="黑体" w:hAnsi="黑体" w:eastAsia="仿宋_GB2312" w:cs="宋体"/>
          <w:bCs/>
          <w:color w:val="auto"/>
          <w:kern w:val="0"/>
          <w:sz w:val="32"/>
          <w:szCs w:val="32"/>
          <w:highlight w:val="none"/>
        </w:rPr>
      </w:pPr>
      <w:bookmarkStart w:id="34" w:name="_Toc28786"/>
      <w:bookmarkStart w:id="35" w:name="_Toc14238"/>
      <w:r>
        <w:drawing>
          <wp:anchor distT="0" distB="0" distL="114300" distR="114300" simplePos="0" relativeHeight="251661312" behindDoc="0" locked="0" layoutInCell="1" allowOverlap="1">
            <wp:simplePos x="0" y="0"/>
            <wp:positionH relativeFrom="column">
              <wp:align>center</wp:align>
            </wp:positionH>
            <wp:positionV relativeFrom="page">
              <wp:posOffset>993775</wp:posOffset>
            </wp:positionV>
            <wp:extent cx="5270500" cy="3995420"/>
            <wp:effectExtent l="0" t="0" r="6350" b="5080"/>
            <wp:wrapSquare wrapText="bothSides"/>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5270500" cy="3995420"/>
                    </a:xfrm>
                    <a:prstGeom prst="rect">
                      <a:avLst/>
                    </a:prstGeom>
                    <a:noFill/>
                    <a:ln>
                      <a:noFill/>
                    </a:ln>
                  </pic:spPr>
                </pic:pic>
              </a:graphicData>
            </a:graphic>
          </wp:anchor>
        </w:drawing>
      </w:r>
    </w:p>
    <w:p>
      <w:pPr>
        <w:rPr>
          <w:rFonts w:hint="eastAsia" w:ascii="黑体" w:hAnsi="黑体" w:eastAsia="仿宋_GB2312" w:cs="宋体"/>
          <w:bCs/>
          <w:color w:val="auto"/>
          <w:kern w:val="0"/>
          <w:sz w:val="32"/>
          <w:szCs w:val="32"/>
          <w:highlight w:val="none"/>
        </w:rPr>
      </w:pPr>
    </w:p>
    <w:p>
      <w:pPr>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br w:type="page"/>
      </w:r>
    </w:p>
    <w:bookmarkEnd w:id="34"/>
    <w:bookmarkEnd w:id="35"/>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仿宋_GB2312" w:cs="宋体"/>
          <w:bCs/>
          <w:color w:val="auto"/>
          <w:kern w:val="0"/>
          <w:sz w:val="32"/>
          <w:szCs w:val="32"/>
          <w:highlight w:val="none"/>
        </w:rPr>
      </w:pPr>
      <w:bookmarkStart w:id="36" w:name="_Toc10347"/>
      <w:bookmarkStart w:id="37" w:name="_Toc14869"/>
      <w:r>
        <w:drawing>
          <wp:anchor distT="0" distB="0" distL="114300" distR="114300" simplePos="0" relativeHeight="251662336" behindDoc="0" locked="0" layoutInCell="1" allowOverlap="1">
            <wp:simplePos x="0" y="0"/>
            <wp:positionH relativeFrom="column">
              <wp:align>center</wp:align>
            </wp:positionH>
            <wp:positionV relativeFrom="page">
              <wp:posOffset>982980</wp:posOffset>
            </wp:positionV>
            <wp:extent cx="5273675" cy="4409440"/>
            <wp:effectExtent l="0" t="0" r="3175" b="10160"/>
            <wp:wrapSquare wrapText="bothSides"/>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5273675" cy="440944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p>
    <w:p>
      <w:pPr>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br w:type="page"/>
      </w:r>
    </w:p>
    <w:bookmarkEnd w:id="36"/>
    <w:bookmarkEnd w:id="37"/>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仿宋_GB2312" w:cs="宋体"/>
          <w:bCs/>
          <w:color w:val="auto"/>
          <w:kern w:val="0"/>
          <w:sz w:val="32"/>
          <w:szCs w:val="32"/>
          <w:highlight w:val="none"/>
        </w:rPr>
      </w:pPr>
      <w:r>
        <w:drawing>
          <wp:anchor distT="0" distB="0" distL="114300" distR="114300" simplePos="0" relativeHeight="251663360" behindDoc="0" locked="0" layoutInCell="1" allowOverlap="1">
            <wp:simplePos x="0" y="0"/>
            <wp:positionH relativeFrom="column">
              <wp:align>center</wp:align>
            </wp:positionH>
            <wp:positionV relativeFrom="page">
              <wp:posOffset>921385</wp:posOffset>
            </wp:positionV>
            <wp:extent cx="5272405" cy="5332730"/>
            <wp:effectExtent l="0" t="0" r="4445" b="1270"/>
            <wp:wrapSquare wrapText="bothSides"/>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9"/>
                    <a:stretch>
                      <a:fillRect/>
                    </a:stretch>
                  </pic:blipFill>
                  <pic:spPr>
                    <a:xfrm>
                      <a:off x="0" y="0"/>
                      <a:ext cx="5272405" cy="533273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p>
    <w:p>
      <w:pPr>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仿宋_GB2312" w:cs="宋体"/>
          <w:bCs/>
          <w:color w:val="auto"/>
          <w:kern w:val="0"/>
          <w:sz w:val="32"/>
          <w:szCs w:val="32"/>
          <w:highlight w:val="none"/>
        </w:rPr>
      </w:pPr>
      <w:r>
        <w:drawing>
          <wp:anchor distT="0" distB="0" distL="114300" distR="114300" simplePos="0" relativeHeight="251664384" behindDoc="0" locked="0" layoutInCell="1" allowOverlap="1">
            <wp:simplePos x="0" y="0"/>
            <wp:positionH relativeFrom="column">
              <wp:align>center</wp:align>
            </wp:positionH>
            <wp:positionV relativeFrom="page">
              <wp:posOffset>939800</wp:posOffset>
            </wp:positionV>
            <wp:extent cx="5268595" cy="4691380"/>
            <wp:effectExtent l="0" t="0" r="8255" b="13970"/>
            <wp:wrapSquare wrapText="bothSides"/>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0"/>
                    <a:stretch>
                      <a:fillRect/>
                    </a:stretch>
                  </pic:blipFill>
                  <pic:spPr>
                    <a:xfrm>
                      <a:off x="0" y="0"/>
                      <a:ext cx="5268595" cy="469138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p>
    <w:p>
      <w:pPr>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仿宋_GB2312" w:cs="宋体"/>
          <w:bCs/>
          <w:color w:val="auto"/>
          <w:kern w:val="0"/>
          <w:sz w:val="32"/>
          <w:szCs w:val="32"/>
          <w:highlight w:val="none"/>
        </w:rPr>
      </w:pPr>
      <w:bookmarkStart w:id="38" w:name="_Toc7643"/>
      <w:bookmarkStart w:id="39" w:name="_Toc5453"/>
      <w:r>
        <w:drawing>
          <wp:anchor distT="0" distB="0" distL="114300" distR="114300" simplePos="0" relativeHeight="251665408" behindDoc="0" locked="0" layoutInCell="1" allowOverlap="1">
            <wp:simplePos x="0" y="0"/>
            <wp:positionH relativeFrom="column">
              <wp:posOffset>6350</wp:posOffset>
            </wp:positionH>
            <wp:positionV relativeFrom="page">
              <wp:posOffset>964565</wp:posOffset>
            </wp:positionV>
            <wp:extent cx="5269230" cy="1471295"/>
            <wp:effectExtent l="0" t="0" r="7620" b="14605"/>
            <wp:wrapSquare wrapText="bothSides"/>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1"/>
                    <a:stretch>
                      <a:fillRect/>
                    </a:stretch>
                  </pic:blipFill>
                  <pic:spPr>
                    <a:xfrm>
                      <a:off x="0" y="0"/>
                      <a:ext cx="5269230" cy="147129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p>
    <w:p>
      <w:pPr>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br w:type="page"/>
      </w:r>
    </w:p>
    <w:bookmarkEnd w:id="38"/>
    <w:bookmarkEnd w:id="39"/>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6432" behindDoc="0" locked="0" layoutInCell="1" allowOverlap="1">
            <wp:simplePos x="0" y="0"/>
            <wp:positionH relativeFrom="column">
              <wp:posOffset>-30480</wp:posOffset>
            </wp:positionH>
            <wp:positionV relativeFrom="page">
              <wp:posOffset>929005</wp:posOffset>
            </wp:positionV>
            <wp:extent cx="5268595" cy="2150745"/>
            <wp:effectExtent l="0" t="0" r="8255" b="1905"/>
            <wp:wrapSquare wrapText="bothSides"/>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2"/>
                    <a:stretch>
                      <a:fillRect/>
                    </a:stretch>
                  </pic:blipFill>
                  <pic:spPr>
                    <a:xfrm>
                      <a:off x="0" y="0"/>
                      <a:ext cx="5268595" cy="215074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r>
        <w:drawing>
          <wp:anchor distT="0" distB="0" distL="114300" distR="114300" simplePos="0" relativeHeight="251667456" behindDoc="0" locked="0" layoutInCell="1" allowOverlap="1">
            <wp:simplePos x="0" y="0"/>
            <wp:positionH relativeFrom="column">
              <wp:align>center</wp:align>
            </wp:positionH>
            <wp:positionV relativeFrom="page">
              <wp:posOffset>932180</wp:posOffset>
            </wp:positionV>
            <wp:extent cx="5265420" cy="2326005"/>
            <wp:effectExtent l="0" t="0" r="11430" b="17145"/>
            <wp:wrapSquare wrapText="bothSides"/>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3"/>
                    <a:stretch>
                      <a:fillRect/>
                    </a:stretch>
                  </pic:blipFill>
                  <pic:spPr>
                    <a:xfrm>
                      <a:off x="0" y="0"/>
                      <a:ext cx="5265420" cy="2326005"/>
                    </a:xfrm>
                    <a:prstGeom prst="rect">
                      <a:avLst/>
                    </a:prstGeom>
                    <a:noFill/>
                    <a:ln>
                      <a:noFill/>
                    </a:ln>
                  </pic:spPr>
                </pic:pic>
              </a:graphicData>
            </a:graphic>
          </wp:anchor>
        </w:drawing>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abstractNum w:abstractNumId="1">
    <w:nsid w:val="55AA59F2"/>
    <w:multiLevelType w:val="singleLevel"/>
    <w:tmpl w:val="55AA59F2"/>
    <w:lvl w:ilvl="0" w:tentative="0">
      <w:start w:val="10"/>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5NjdhM2Y1MmFlYjg0Y2YyYTA2YzNmMmI5ODExMTIifQ=="/>
    <w:docVar w:name="KSO_WPS_MARK_KEY" w:val="41ee2a61-2d54-4f93-83be-afdb9a40d732"/>
  </w:docVars>
  <w:rsids>
    <w:rsidRoot w:val="00000000"/>
    <w:rsid w:val="00213C59"/>
    <w:rsid w:val="003210CE"/>
    <w:rsid w:val="00B70D59"/>
    <w:rsid w:val="00F52A8D"/>
    <w:rsid w:val="019404F8"/>
    <w:rsid w:val="01ED22F2"/>
    <w:rsid w:val="02BD3108"/>
    <w:rsid w:val="02F73D26"/>
    <w:rsid w:val="034D4FEF"/>
    <w:rsid w:val="035D1785"/>
    <w:rsid w:val="039F47CE"/>
    <w:rsid w:val="03E05CE8"/>
    <w:rsid w:val="03F973EE"/>
    <w:rsid w:val="043E5B56"/>
    <w:rsid w:val="04C04386"/>
    <w:rsid w:val="04D1736D"/>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8E481C"/>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376767"/>
    <w:rsid w:val="127F665A"/>
    <w:rsid w:val="12F7068C"/>
    <w:rsid w:val="14207DC0"/>
    <w:rsid w:val="14B932DA"/>
    <w:rsid w:val="150A66AF"/>
    <w:rsid w:val="154C1139"/>
    <w:rsid w:val="158C5B77"/>
    <w:rsid w:val="159C3F75"/>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2126C"/>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17422"/>
    <w:rsid w:val="285F51FF"/>
    <w:rsid w:val="28DA4193"/>
    <w:rsid w:val="28DF2665"/>
    <w:rsid w:val="29072599"/>
    <w:rsid w:val="291029F3"/>
    <w:rsid w:val="29B816E1"/>
    <w:rsid w:val="29CB58F0"/>
    <w:rsid w:val="2A053397"/>
    <w:rsid w:val="2A145E96"/>
    <w:rsid w:val="2A2131BB"/>
    <w:rsid w:val="2AF5378F"/>
    <w:rsid w:val="2BB94DBF"/>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4E07EF"/>
    <w:rsid w:val="36965B9D"/>
    <w:rsid w:val="36C549FD"/>
    <w:rsid w:val="36E11280"/>
    <w:rsid w:val="37A755DD"/>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5753F7"/>
    <w:rsid w:val="3B6716E3"/>
    <w:rsid w:val="3B6C6B2D"/>
    <w:rsid w:val="3C242659"/>
    <w:rsid w:val="3C96719C"/>
    <w:rsid w:val="3CA72BE8"/>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192D0E"/>
    <w:rsid w:val="443A7E4B"/>
    <w:rsid w:val="452F5B3A"/>
    <w:rsid w:val="454E7FD2"/>
    <w:rsid w:val="45C1442F"/>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A0A26D2"/>
    <w:rsid w:val="4A2019A5"/>
    <w:rsid w:val="4A241A0B"/>
    <w:rsid w:val="4A3F2ACD"/>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A4C50"/>
    <w:rsid w:val="4E4D37AF"/>
    <w:rsid w:val="4E8C6496"/>
    <w:rsid w:val="4EFD18DE"/>
    <w:rsid w:val="4F144236"/>
    <w:rsid w:val="4F663C87"/>
    <w:rsid w:val="4F7E29A8"/>
    <w:rsid w:val="4F9E1FFC"/>
    <w:rsid w:val="4FE86FD0"/>
    <w:rsid w:val="50447CC2"/>
    <w:rsid w:val="50874A7C"/>
    <w:rsid w:val="50895EE7"/>
    <w:rsid w:val="50921B9D"/>
    <w:rsid w:val="50D16158"/>
    <w:rsid w:val="50DB5F45"/>
    <w:rsid w:val="51025EB1"/>
    <w:rsid w:val="51141503"/>
    <w:rsid w:val="513C450E"/>
    <w:rsid w:val="518D0ED5"/>
    <w:rsid w:val="525C687F"/>
    <w:rsid w:val="52A3740A"/>
    <w:rsid w:val="52F647F7"/>
    <w:rsid w:val="52F92565"/>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4B0DC4"/>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20D10"/>
    <w:rsid w:val="73845865"/>
    <w:rsid w:val="739B6D9E"/>
    <w:rsid w:val="73BC1D76"/>
    <w:rsid w:val="73FB6630"/>
    <w:rsid w:val="74033EC3"/>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84E7CA6"/>
    <w:rsid w:val="78574801"/>
    <w:rsid w:val="7873527F"/>
    <w:rsid w:val="790A6425"/>
    <w:rsid w:val="790E2D96"/>
    <w:rsid w:val="791B54B2"/>
    <w:rsid w:val="793C0F89"/>
    <w:rsid w:val="795A0A34"/>
    <w:rsid w:val="797339C3"/>
    <w:rsid w:val="79D57D57"/>
    <w:rsid w:val="79F00650"/>
    <w:rsid w:val="7A6242BF"/>
    <w:rsid w:val="7A794513"/>
    <w:rsid w:val="7AE952D2"/>
    <w:rsid w:val="7B340630"/>
    <w:rsid w:val="7BB607FE"/>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6612</Words>
  <Characters>22330</Characters>
  <Lines>0</Lines>
  <Paragraphs>0</Paragraphs>
  <TotalTime>45</TotalTime>
  <ScaleCrop>false</ScaleCrop>
  <LinksUpToDate>false</LinksUpToDate>
  <CharactersWithSpaces>22605</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2024-12-19T11:31:31Z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D624B15633CD43C8BF9435464A96BF70</vt:lpwstr>
  </property>
</Properties>
</file>