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1044" w:firstLineChars="200"/>
        <w:jc w:val="center"/>
        <w:rPr>
          <w:rFonts w:ascii="仿宋" w:hAnsi="仿宋" w:eastAsia="仿宋" w:cs="仿宋"/>
          <w:b/>
          <w:kern w:val="0"/>
          <w:sz w:val="52"/>
          <w:szCs w:val="52"/>
        </w:rPr>
      </w:pPr>
    </w:p>
    <w:p>
      <w:pPr>
        <w:spacing w:line="540" w:lineRule="exact"/>
        <w:ind w:firstLine="1044" w:firstLineChars="200"/>
        <w:jc w:val="center"/>
        <w:rPr>
          <w:rFonts w:ascii="仿宋" w:hAnsi="仿宋" w:eastAsia="仿宋" w:cs="仿宋"/>
          <w:b/>
          <w:kern w:val="0"/>
          <w:sz w:val="52"/>
          <w:szCs w:val="52"/>
        </w:rPr>
      </w:pPr>
    </w:p>
    <w:p>
      <w:pPr>
        <w:spacing w:line="540" w:lineRule="exact"/>
        <w:ind w:firstLine="1044" w:firstLineChars="200"/>
        <w:jc w:val="center"/>
        <w:rPr>
          <w:rFonts w:ascii="仿宋" w:hAnsi="仿宋" w:eastAsia="仿宋" w:cs="仿宋"/>
          <w:b/>
          <w:kern w:val="0"/>
          <w:sz w:val="52"/>
          <w:szCs w:val="52"/>
        </w:rPr>
      </w:pPr>
    </w:p>
    <w:p>
      <w:pPr>
        <w:spacing w:line="540" w:lineRule="exact"/>
        <w:ind w:firstLine="1044" w:firstLineChars="200"/>
        <w:rPr>
          <w:rFonts w:ascii="仿宋" w:hAnsi="仿宋" w:eastAsia="仿宋" w:cs="仿宋"/>
          <w:b/>
          <w:kern w:val="0"/>
          <w:sz w:val="52"/>
          <w:szCs w:val="52"/>
        </w:rPr>
      </w:pPr>
    </w:p>
    <w:p>
      <w:pPr>
        <w:spacing w:line="540" w:lineRule="exact"/>
        <w:ind w:firstLine="1044" w:firstLineChars="200"/>
        <w:rPr>
          <w:rFonts w:ascii="仿宋" w:hAnsi="仿宋" w:eastAsia="仿宋" w:cs="仿宋"/>
          <w:b/>
          <w:kern w:val="0"/>
          <w:sz w:val="52"/>
          <w:szCs w:val="52"/>
        </w:rPr>
      </w:pPr>
    </w:p>
    <w:p>
      <w:pPr>
        <w:spacing w:line="540" w:lineRule="exact"/>
        <w:ind w:firstLine="1044" w:firstLineChars="200"/>
        <w:jc w:val="center"/>
        <w:rPr>
          <w:rFonts w:ascii="仿宋" w:hAnsi="仿宋" w:eastAsia="仿宋" w:cs="仿宋"/>
          <w:b/>
          <w:kern w:val="0"/>
          <w:sz w:val="52"/>
          <w:szCs w:val="52"/>
        </w:rPr>
      </w:pPr>
    </w:p>
    <w:p>
      <w:pPr>
        <w:spacing w:line="540" w:lineRule="exact"/>
        <w:ind w:firstLine="964" w:firstLineChars="200"/>
        <w:jc w:val="center"/>
        <w:rPr>
          <w:rFonts w:ascii="黑体" w:hAnsi="黑体" w:eastAsia="黑体" w:cs="黑体"/>
          <w:b/>
          <w:kern w:val="0"/>
          <w:sz w:val="48"/>
          <w:szCs w:val="48"/>
        </w:rPr>
      </w:pPr>
      <w:r>
        <w:rPr>
          <w:rFonts w:hint="eastAsia" w:ascii="黑体" w:hAnsi="黑体" w:eastAsia="黑体" w:cs="黑体"/>
          <w:b/>
          <w:kern w:val="0"/>
          <w:sz w:val="48"/>
          <w:szCs w:val="48"/>
        </w:rPr>
        <w:t>库尔勒市部门单位整体支出绩效</w:t>
      </w:r>
    </w:p>
    <w:p>
      <w:pPr>
        <w:spacing w:line="540" w:lineRule="exact"/>
        <w:ind w:firstLine="964" w:firstLineChars="200"/>
        <w:jc w:val="center"/>
        <w:rPr>
          <w:rFonts w:ascii="黑体" w:hAnsi="黑体" w:eastAsia="黑体" w:cs="黑体"/>
          <w:b/>
          <w:kern w:val="0"/>
          <w:sz w:val="48"/>
          <w:szCs w:val="48"/>
        </w:rPr>
      </w:pPr>
      <w:r>
        <w:rPr>
          <w:rFonts w:hint="eastAsia" w:ascii="黑体" w:hAnsi="黑体" w:eastAsia="黑体" w:cs="黑体"/>
          <w:b/>
          <w:kern w:val="0"/>
          <w:sz w:val="48"/>
          <w:szCs w:val="48"/>
        </w:rPr>
        <w:t>自评报告</w:t>
      </w:r>
    </w:p>
    <w:p>
      <w:pPr>
        <w:spacing w:line="540" w:lineRule="exact"/>
        <w:ind w:firstLine="1044" w:firstLineChars="200"/>
        <w:jc w:val="center"/>
        <w:rPr>
          <w:rFonts w:ascii="仿宋" w:hAnsi="仿宋" w:eastAsia="仿宋" w:cs="仿宋"/>
          <w:b/>
          <w:kern w:val="0"/>
          <w:sz w:val="52"/>
          <w:szCs w:val="52"/>
        </w:rPr>
      </w:pPr>
    </w:p>
    <w:p>
      <w:pPr>
        <w:spacing w:line="540" w:lineRule="exact"/>
        <w:ind w:firstLine="720" w:firstLineChars="200"/>
        <w:jc w:val="center"/>
        <w:rPr>
          <w:rFonts w:ascii="黑体" w:hAnsi="黑体" w:eastAsia="黑体" w:cs="黑体"/>
          <w:kern w:val="0"/>
          <w:sz w:val="36"/>
          <w:szCs w:val="36"/>
        </w:rPr>
      </w:pPr>
      <w:r>
        <w:rPr>
          <w:rFonts w:hint="eastAsia" w:ascii="黑体" w:hAnsi="黑体" w:eastAsia="黑体" w:cs="黑体"/>
          <w:kern w:val="0"/>
          <w:sz w:val="36"/>
          <w:szCs w:val="36"/>
        </w:rPr>
        <w:t>（2023年度）</w:t>
      </w: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jc w:val="center"/>
        <w:rPr>
          <w:rFonts w:ascii="仿宋" w:hAnsi="仿宋" w:eastAsia="仿宋" w:cs="仿宋"/>
          <w:kern w:val="0"/>
          <w:sz w:val="30"/>
          <w:szCs w:val="30"/>
        </w:rPr>
      </w:pPr>
    </w:p>
    <w:p>
      <w:pPr>
        <w:spacing w:line="540" w:lineRule="exact"/>
        <w:ind w:firstLine="600" w:firstLineChars="200"/>
        <w:rPr>
          <w:rFonts w:ascii="仿宋" w:hAnsi="仿宋" w:eastAsia="仿宋" w:cs="仿宋"/>
          <w:kern w:val="0"/>
          <w:sz w:val="30"/>
          <w:szCs w:val="30"/>
        </w:rPr>
      </w:pPr>
    </w:p>
    <w:p>
      <w:pPr>
        <w:spacing w:line="700" w:lineRule="exact"/>
        <w:ind w:firstLine="720" w:firstLineChars="200"/>
        <w:jc w:val="left"/>
        <w:rPr>
          <w:rFonts w:ascii="仿宋" w:hAnsi="仿宋" w:eastAsia="仿宋" w:cs="仿宋"/>
          <w:kern w:val="0"/>
          <w:sz w:val="36"/>
          <w:szCs w:val="36"/>
        </w:rPr>
      </w:pPr>
    </w:p>
    <w:p>
      <w:pPr>
        <w:spacing w:line="700" w:lineRule="exact"/>
        <w:ind w:firstLine="720" w:firstLineChars="200"/>
        <w:jc w:val="left"/>
        <w:rPr>
          <w:rFonts w:ascii="仿宋" w:hAnsi="仿宋" w:eastAsia="仿宋" w:cs="仿宋"/>
          <w:kern w:val="0"/>
          <w:sz w:val="28"/>
          <w:szCs w:val="28"/>
        </w:rPr>
      </w:pPr>
      <w:r>
        <w:rPr>
          <w:rFonts w:hint="eastAsia" w:ascii="仿宋" w:hAnsi="仿宋" w:eastAsia="仿宋" w:cs="仿宋"/>
          <w:kern w:val="0"/>
          <w:sz w:val="36"/>
          <w:szCs w:val="36"/>
        </w:rPr>
        <w:t>部门单位名称（公章）：</w:t>
      </w:r>
      <w:r>
        <w:rPr>
          <w:rFonts w:hint="eastAsia" w:ascii="仿宋" w:hAnsi="仿宋" w:eastAsia="仿宋" w:cs="仿宋"/>
          <w:kern w:val="0"/>
          <w:sz w:val="28"/>
          <w:szCs w:val="28"/>
        </w:rPr>
        <w:t>中共库尔勒市纪律检查委员会</w:t>
      </w:r>
    </w:p>
    <w:p>
      <w:pPr>
        <w:spacing w:line="700" w:lineRule="exact"/>
        <w:ind w:firstLine="720" w:firstLineChars="200"/>
        <w:jc w:val="left"/>
        <w:rPr>
          <w:rFonts w:ascii="仿宋" w:hAnsi="仿宋" w:eastAsia="仿宋" w:cs="仿宋"/>
          <w:kern w:val="0"/>
          <w:sz w:val="36"/>
          <w:szCs w:val="36"/>
        </w:rPr>
      </w:pPr>
      <w:r>
        <w:rPr>
          <w:rFonts w:hint="eastAsia" w:ascii="仿宋" w:hAnsi="仿宋" w:eastAsia="仿宋" w:cs="仿宋"/>
          <w:kern w:val="0"/>
          <w:sz w:val="36"/>
          <w:szCs w:val="36"/>
        </w:rPr>
        <w:t>填报时间：2024年4月28日</w:t>
      </w:r>
    </w:p>
    <w:p>
      <w:pPr>
        <w:ind w:firstLine="720" w:firstLineChars="200"/>
        <w:rPr>
          <w:rFonts w:hAnsi="宋体" w:eastAsia="仿宋_GB2312" w:cs="宋体"/>
          <w:kern w:val="0"/>
          <w:sz w:val="36"/>
          <w:szCs w:val="36"/>
        </w:rPr>
      </w:pPr>
      <w:r>
        <w:rPr>
          <w:rFonts w:hAnsi="宋体" w:eastAsia="仿宋_GB2312" w:cs="宋体"/>
          <w:kern w:val="0"/>
          <w:sz w:val="36"/>
          <w:szCs w:val="36"/>
        </w:rPr>
        <w:br w:type="page"/>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一、基本概况</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(一)部门单位基本情况</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1.部门职能</w:t>
      </w:r>
    </w:p>
    <w:p>
      <w:pPr>
        <w:spacing w:line="600" w:lineRule="exact"/>
        <w:ind w:firstLine="624" w:firstLineChars="200"/>
        <w:jc w:val="left"/>
        <w:rPr>
          <w:rFonts w:ascii="仿宋" w:hAnsi="仿宋" w:eastAsia="仿宋" w:cs="仿宋"/>
          <w:bCs/>
          <w:sz w:val="32"/>
          <w:szCs w:val="32"/>
        </w:rPr>
      </w:pPr>
      <w:r>
        <w:rPr>
          <w:rStyle w:val="8"/>
          <w:rFonts w:hint="eastAsia" w:ascii="仿宋" w:hAnsi="仿宋" w:eastAsia="仿宋" w:cs="仿宋"/>
          <w:b w:val="0"/>
          <w:spacing w:val="-4"/>
          <w:sz w:val="32"/>
          <w:szCs w:val="32"/>
        </w:rPr>
        <w:t>中共库尔勒市纪律检查委员会，是党的纪律检查机关；库尔勒市监察委员会，是国家监察机关。市纪委与市监委合署办公，实行一套工作机构、两个机关名称，履行纪检、监察两项职责，对自治州纪委监委和市委负责。主要负责党的纪律检查等工作，依照党的章程和其他党内法规履行监督、执纪、问责职责；负责全市监察工作，依照法律规定履行监督、调查、处置职责；负责组织协调库尔勒市全面从严治党、党风廉政建设和反腐败宣传教育等工作。</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2.部门机构人员构成情况</w:t>
      </w:r>
    </w:p>
    <w:p>
      <w:pPr>
        <w:pStyle w:val="5"/>
        <w:spacing w:before="40" w:beforeAutospacing="0" w:after="0" w:afterAutospacing="0" w:line="600" w:lineRule="exact"/>
        <w:ind w:firstLine="640" w:firstLineChars="200"/>
        <w:jc w:val="both"/>
        <w:rPr>
          <w:rFonts w:ascii="仿宋" w:hAnsi="仿宋" w:eastAsia="仿宋" w:cs="仿宋"/>
          <w:kern w:val="2"/>
          <w:sz w:val="32"/>
          <w:szCs w:val="32"/>
        </w:rPr>
      </w:pPr>
      <w:r>
        <w:rPr>
          <w:rFonts w:hint="eastAsia" w:ascii="仿宋" w:hAnsi="仿宋" w:eastAsia="仿宋" w:cs="仿宋"/>
          <w:kern w:val="2"/>
          <w:sz w:val="32"/>
          <w:szCs w:val="32"/>
        </w:rPr>
        <w:t>中共库尔勒市纪律检查委员会编制数149人，实有人数144人，其中：在职133人；退休11人；离休0人。</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(二)部门单位年度重点工作</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1.2023年度工作计划</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（1）坚守党的初心使命，强化主体责任意识</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（2）深入学习宣传贯彻党的二十大精神。</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（3）坚定不移惩治腐败，加强日常监督检查，一体推进不敢腐、不能腐、不想腐，日常监督检查不少于100次。</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（4）落实落细监督职责，提升监督治理成效。</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（5）持续加强作风建设，坚决整治“四风”顽疾。</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（6）切实加强队伍建设，持续宣讲培训、锻造政治过硬、本领高强的纪检监察铁军。</w:t>
      </w:r>
    </w:p>
    <w:p>
      <w:pPr>
        <w:pStyle w:val="2"/>
        <w:spacing w:line="600" w:lineRule="exact"/>
        <w:ind w:firstLine="640" w:firstLineChars="200"/>
        <w:rPr>
          <w:rFonts w:ascii="黑体" w:hAnsi="黑体" w:eastAsia="黑体" w:cs="黑体"/>
        </w:rPr>
      </w:pPr>
      <w:r>
        <w:rPr>
          <w:rFonts w:hint="eastAsia" w:ascii="黑体" w:hAnsi="黑体" w:eastAsia="黑体" w:cs="黑体"/>
          <w:b w:val="0"/>
        </w:rPr>
        <w:t>2.机构人员保障情况</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中共库尔勒市纪律检查委员会2023年通过本部门预算支出，确保了133名在职人员的工资、津贴、补贴、社保、绩效、公积金等以及11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(三)部门单位整体预算规模及安排情况</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1.年初预算安排</w:t>
      </w:r>
    </w:p>
    <w:p>
      <w:pPr>
        <w:spacing w:line="60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2023年我部门年初安排预算数为2718.56万元，其中:上级安排0.00万元,本级安排2718.56万元，其他资金0.00万元。</w:t>
      </w:r>
    </w:p>
    <w:p>
      <w:pPr>
        <w:pStyle w:val="2"/>
        <w:ind w:firstLine="640" w:firstLineChars="200"/>
        <w:rPr>
          <w:rFonts w:ascii="仿宋" w:hAnsi="仿宋" w:eastAsia="仿宋" w:cs="仿宋"/>
          <w:b w:val="0"/>
          <w:bCs w:val="0"/>
        </w:rPr>
      </w:pPr>
      <w:r>
        <w:rPr>
          <w:rFonts w:hint="eastAsia" w:ascii="仿宋" w:hAnsi="仿宋" w:eastAsia="仿宋" w:cs="仿宋"/>
          <w:b w:val="0"/>
          <w:bCs w:val="0"/>
        </w:rPr>
        <w:t>综上所述，部门预算安排与本单位职能关联度较高，预算安排结构清晰明了，能够直观展示各项费用的分配情况，预算规模合理，为单位的稳健发展和高效运行提供了有力保障。</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2.预算年中调整情况</w:t>
      </w:r>
    </w:p>
    <w:p>
      <w:pPr>
        <w:spacing w:line="60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我部门年初安排预算数2718.56万元，年中调整数-458.37万元，调整后全年预算数2260.19万元，预算调整率16.86%。</w:t>
      </w:r>
    </w:p>
    <w:p>
      <w:pPr>
        <w:pStyle w:val="2"/>
        <w:ind w:firstLine="640" w:firstLineChars="200"/>
        <w:rPr>
          <w:rFonts w:ascii="仿宋" w:hAnsi="仿宋" w:eastAsia="仿宋" w:cs="仿宋"/>
          <w:b w:val="0"/>
        </w:rPr>
      </w:pPr>
      <w:r>
        <w:rPr>
          <w:rFonts w:hint="eastAsia" w:ascii="仿宋" w:hAnsi="仿宋" w:eastAsia="仿宋" w:cs="仿宋"/>
          <w:b w:val="0"/>
        </w:rPr>
        <w:t>综上所述，年中预算调整幅度与本单位运转情况和履职情况相匹配，未出现资金收支不平衡以及债务风险等负面影响，确保了预算调整的合理性和必要性。</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3.资金使用主要内容、涉及的范围</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我单位2023年度部门整体支出为2260.19万元，其中：</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（1）基本支出</w:t>
      </w:r>
      <w:r>
        <w:rPr>
          <w:rFonts w:hint="eastAsia" w:ascii="仿宋" w:hAnsi="仿宋" w:eastAsia="仿宋" w:cs="仿宋"/>
          <w:bCs/>
          <w:sz w:val="32"/>
          <w:szCs w:val="32"/>
        </w:rPr>
        <w:t>2125.86</w:t>
      </w:r>
      <w:r>
        <w:rPr>
          <w:rFonts w:hint="eastAsia" w:ascii="仿宋" w:hAnsi="仿宋" w:eastAsia="仿宋" w:cs="仿宋"/>
          <w:sz w:val="32"/>
          <w:szCs w:val="32"/>
        </w:rPr>
        <w:t>万元，主要用于：基本工资、津贴补贴、奖金、机关事业单位基本养老保险缴费、职工基本医疗保险缴费、公务员医疗补助缴费、其他社会保障缴费、住房公积金、医疗费、其他工资福利支出、办公费、水费、电费、差旅费、培训费、劳务费、工会经费、公务用车运行维护费、其他交通费用、退休费、医疗费补助、奖励金等。</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（2）项目支出</w:t>
      </w:r>
      <w:r>
        <w:rPr>
          <w:rFonts w:hint="eastAsia" w:ascii="仿宋" w:hAnsi="仿宋" w:eastAsia="仿宋" w:cs="仿宋"/>
          <w:bCs/>
          <w:sz w:val="32"/>
          <w:szCs w:val="32"/>
        </w:rPr>
        <w:t>134.33</w:t>
      </w:r>
      <w:r>
        <w:rPr>
          <w:rFonts w:hint="eastAsia" w:ascii="仿宋" w:hAnsi="仿宋" w:eastAsia="仿宋" w:cs="仿宋"/>
          <w:sz w:val="32"/>
          <w:szCs w:val="32"/>
        </w:rPr>
        <w:t>万元，主要用于部门专项-巡察工作人员补助费项目20.76万元、</w:t>
      </w:r>
      <w:r>
        <w:rPr>
          <w:rFonts w:hint="eastAsia" w:ascii="仿宋" w:hAnsi="仿宋" w:eastAsia="仿宋" w:cs="仿宋"/>
          <w:sz w:val="32"/>
          <w:szCs w:val="32"/>
          <w:highlight w:val="none"/>
        </w:rPr>
        <w:t>2023年转移支付资金项目21.70万元、2023年转移支付资金项目11.68万元、2023</w:t>
      </w:r>
      <w:r>
        <w:rPr>
          <w:rFonts w:hint="eastAsia" w:ascii="仿宋" w:hAnsi="仿宋" w:eastAsia="仿宋" w:cs="仿宋"/>
          <w:sz w:val="32"/>
          <w:szCs w:val="32"/>
        </w:rPr>
        <w:t>年</w:t>
      </w:r>
      <w:bookmarkStart w:id="0" w:name="_GoBack"/>
      <w:bookmarkEnd w:id="0"/>
      <w:r>
        <w:rPr>
          <w:rFonts w:hint="eastAsia" w:ascii="仿宋" w:hAnsi="仿宋" w:eastAsia="仿宋" w:cs="仿宋"/>
          <w:sz w:val="32"/>
          <w:szCs w:val="32"/>
        </w:rPr>
        <w:t>新时代廉洁文化建设经费项目29.71万元、纪检经费项目50.48万元。</w:t>
      </w:r>
    </w:p>
    <w:p>
      <w:pPr>
        <w:spacing w:line="600" w:lineRule="exact"/>
        <w:ind w:firstLine="640" w:firstLineChars="200"/>
        <w:rPr>
          <w:rFonts w:ascii="黑体" w:hAnsi="黑体" w:eastAsia="黑体" w:cs="黑体"/>
          <w:sz w:val="32"/>
          <w:szCs w:val="32"/>
        </w:rPr>
      </w:pPr>
      <w:r>
        <w:rPr>
          <w:rFonts w:hint="eastAsia" w:ascii="黑体" w:hAnsi="黑体" w:eastAsia="黑体" w:cs="黑体"/>
          <w:sz w:val="32"/>
          <w:szCs w:val="32"/>
        </w:rPr>
        <w:t>二、部门单位整体支出管理及使用情况</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（一）基本支出投入、管理和使用情况</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1.基本支出投入和使用情况</w:t>
      </w:r>
    </w:p>
    <w:p>
      <w:pPr>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2023年我部门基本支出年初预算安排2668.56万元，全年预算数2125.86万元，全年实际支出数2125.86万元，其中：人员经费1989.79万元，公用经费136.07万元。全年预算执行率100.00%。</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2.基本支出管理情况</w:t>
      </w:r>
    </w:p>
    <w:p>
      <w:pPr>
        <w:spacing w:line="600" w:lineRule="exact"/>
        <w:ind w:firstLine="640" w:firstLineChars="200"/>
        <w:rPr>
          <w:rFonts w:ascii="仿宋" w:hAnsi="仿宋" w:eastAsia="仿宋" w:cs="仿宋"/>
          <w:bCs/>
          <w:sz w:val="32"/>
          <w:szCs w:val="32"/>
        </w:rPr>
      </w:pPr>
      <w:r>
        <w:rPr>
          <w:rFonts w:hint="eastAsia" w:ascii="仿宋" w:hAnsi="仿宋" w:eastAsia="仿宋" w:cs="仿宋"/>
          <w:bCs/>
          <w:sz w:val="32"/>
          <w:szCs w:val="32"/>
        </w:rPr>
        <w:t>基本支出严格按照财务管理制度执行。人员工资由相关部门严格审核，按月申报及发放。基本公用经费主要用于支付单位日常的</w:t>
      </w:r>
      <w:r>
        <w:rPr>
          <w:rFonts w:hint="eastAsia" w:ascii="仿宋" w:hAnsi="仿宋" w:eastAsia="仿宋" w:cs="仿宋"/>
          <w:sz w:val="32"/>
          <w:szCs w:val="32"/>
        </w:rPr>
        <w:t>办公费、水费、电费、差旅费、培训费、劳务费、工会经费、其他交通费用、</w:t>
      </w:r>
      <w:r>
        <w:rPr>
          <w:rFonts w:hint="eastAsia" w:ascii="仿宋" w:hAnsi="仿宋" w:eastAsia="仿宋" w:cs="仿宋"/>
          <w:bCs/>
          <w:sz w:val="32"/>
          <w:szCs w:val="32"/>
        </w:rPr>
        <w:t>公务用车运行维护费主要用于单位车辆加油、维修及购买车辆保险。</w:t>
      </w:r>
    </w:p>
    <w:p>
      <w:pPr>
        <w:pStyle w:val="2"/>
        <w:spacing w:line="600" w:lineRule="exact"/>
        <w:ind w:firstLine="640" w:firstLineChars="200"/>
        <w:rPr>
          <w:rFonts w:ascii="黑体" w:hAnsi="黑体" w:eastAsia="黑体" w:cs="黑体"/>
          <w:b w:val="0"/>
          <w:bCs w:val="0"/>
        </w:rPr>
      </w:pPr>
      <w:r>
        <w:rPr>
          <w:rFonts w:hint="eastAsia" w:ascii="黑体" w:hAnsi="黑体" w:eastAsia="黑体" w:cs="黑体"/>
          <w:b w:val="0"/>
          <w:bCs w:val="0"/>
        </w:rPr>
        <w:t>（二）项目支出投入、管理和使用情况</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1.项目支出投入和使用情况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2023年本单位共安排5个项目，全年预算数为134.33万元，全年实际支出数134.33万元，执行率100.00%。</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其中:上级安排项目3个63.09万元，本级安排项目2个71.24万元,其他资金安排项目0个0万元。</w:t>
      </w:r>
    </w:p>
    <w:p>
      <w:pPr>
        <w:spacing w:line="600" w:lineRule="exact"/>
        <w:ind w:firstLine="640" w:firstLineChars="200"/>
        <w:jc w:val="left"/>
        <w:rPr>
          <w:rFonts w:ascii="黑体" w:hAnsi="黑体" w:eastAsia="黑体" w:cs="黑体"/>
          <w:bCs/>
          <w:sz w:val="32"/>
          <w:szCs w:val="32"/>
        </w:rPr>
      </w:pPr>
      <w:r>
        <w:rPr>
          <w:rFonts w:hint="eastAsia" w:ascii="黑体" w:hAnsi="黑体" w:eastAsia="黑体" w:cs="黑体"/>
          <w:bCs/>
          <w:sz w:val="32"/>
          <w:szCs w:val="32"/>
        </w:rPr>
        <w:t>2.项目支出管理情况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（2）资金拨付审批手续完整。项目资金专款专用，不存在支出依据不合规，序列项目支出，截留，挤占，挪用和超标准支出等现象，使项目资金的运用得到了合理的控制，项目得到了切实的保障。</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（4）执行预决算管理。严格按预算管理要求使用资金，严格按进度和合同拨付资金，严格执行政府采购制度；严格执行国库集中支付制度，严防截留、挪用资金。</w:t>
      </w:r>
    </w:p>
    <w:p>
      <w:pPr>
        <w:spacing w:line="600" w:lineRule="exact"/>
        <w:ind w:firstLine="640" w:firstLineChars="200"/>
        <w:rPr>
          <w:rStyle w:val="8"/>
          <w:rFonts w:ascii="仿宋_GB2312" w:hAnsi="楷体" w:eastAsia="仿宋_GB2312" w:cs="Times New Roman"/>
          <w:b w:val="0"/>
          <w:spacing w:val="-4"/>
          <w:sz w:val="32"/>
          <w:szCs w:val="32"/>
        </w:rPr>
      </w:pPr>
      <w:r>
        <w:rPr>
          <w:rFonts w:hint="eastAsia" w:ascii="黑体" w:hAnsi="黑体" w:eastAsia="黑体" w:cs="黑体"/>
          <w:sz w:val="32"/>
          <w:szCs w:val="32"/>
        </w:rPr>
        <w:t>三、部门单位整体支出绩效分析</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我单位将部门单位整体绩效目标细化分解为具体的绩效指标，一级指标共2条，二级指标共3条，三级指标共8条，其中量化指标条数共8条，所有绩效指标均通过清晰、可衡量的指标值予以体现。</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（一）指标一：运行成本</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（二）指标二：管理效率</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（三）指标三：履职效能</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数量指标1：宣讲培训次数,预期指标值为：&gt;=10次；监控节点完成值：=12次；评价实际完成值：=15次；指标完成率：100.00%；成效分析：通过单位正常运转，提高了党员干部廉政教育培训成果。</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数量指标2：日常监督检查次数,预期指标值为：&gt;=100次；监控节点完成值：=50次；评价实际完成值：=0次；指标完成率：0.00%；成效分析：通过单位正常运转，提高了日常监督检查工作成效，偏差原因：已全部完成但数据涉密无法上传相关资料，数据出现偏差；下一步措施：年初目标设置精细化，增强日常监督检查工作力度，保持社会良好政治生态。</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数量指标3：审查调查件数,预期指标值为：&gt;=100件；监控节点完成值：=83件；评价实际完成值：=0件；指标完成率：0.00%；成效分析：通过单位正常保障，切实筑牢安全根基、确保执纪审查安全。偏差原因：已全部完成但数据涉密无法上传相关资料，数据出现偏差；下一步措施：年初目标设置精细化，坚持把“惩前毖后、治病救人”的方针贯穿于审查调查工作全过程。</w:t>
      </w:r>
    </w:p>
    <w:p>
      <w:pPr>
        <w:spacing w:line="600" w:lineRule="exact"/>
        <w:ind w:firstLine="624" w:firstLineChars="200"/>
      </w:pPr>
      <w:r>
        <w:rPr>
          <w:rStyle w:val="8"/>
          <w:rFonts w:hint="eastAsia" w:ascii="仿宋" w:hAnsi="仿宋" w:eastAsia="仿宋" w:cs="仿宋"/>
          <w:b w:val="0"/>
          <w:spacing w:val="-4"/>
          <w:sz w:val="32"/>
          <w:szCs w:val="32"/>
        </w:rPr>
        <w:t>数量指标4：信访举报件数,预期指标值为：&gt;=50件；监控节点完成值：=53件；评价实际完成值：=0件；指标完成率：0.00%；成效分析：通过单位正常运转，提高了信访举报工作成效，信访接待工作有序进行，偏差原因：已全部完成但数据涉密无法上传相关资料，数据出现偏差；下一步措施：年初目标设置精细化，做好部门线索整理工作，做到文明接访。</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质量指标1：问题线索处置率,预期指标值为：&gt;=90.00%；监控节点完成值：=90.00%；评价实际完成值：=90.00%；指标完成率：100.00%；成效分析：通过单位正常运转，提高了线索办理、流转等处置能力。</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质量指标2：立案案件办结率,预期指标值为：&gt;=60.00%；监控节点完成值：=38.00%；评价实际完成值：=60.00%；指标完成率：100.00%；成效分析：通过单位正常运转，提升案件质量。</w:t>
      </w:r>
    </w:p>
    <w:p>
      <w:pPr>
        <w:spacing w:line="600" w:lineRule="exact"/>
        <w:ind w:firstLine="624" w:firstLineChars="200"/>
      </w:pPr>
      <w:r>
        <w:rPr>
          <w:rStyle w:val="8"/>
          <w:rFonts w:hint="eastAsia" w:ascii="仿宋" w:hAnsi="仿宋" w:eastAsia="仿宋" w:cs="仿宋"/>
          <w:b w:val="0"/>
          <w:spacing w:val="-4"/>
          <w:sz w:val="32"/>
          <w:szCs w:val="32"/>
        </w:rPr>
        <w:t>质量指标3：信访举报办结率,预期指标值为：&gt;=60.00%；监控节点完成值：=52.00%；评价实际完成值：=60.00%；指标完成率：100.00%；成效分析：通过单位正常运转，提高了信访举报线索办结率。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（四）指标四：社会效益</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社会效益指标1：收回违纪监察款,预期指标值为：&gt;=10.00万元；监控节点完成值：=0.00万元；评价实际完成值：=0.00万元；指标完成率：0.00%；成效分析：通过单位正常运转，提高了涉案款追缴工作，保证资金的安全性，偏差原因：已全部完成但数据涉密无法上传相关资料，数据出现偏差；下一步措施：年初目标设置精细化，进一步加增涉案资金的管理和上缴工作。</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（五）指标五：可持续发展能力</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spacing w:line="600" w:lineRule="exact"/>
        <w:ind w:firstLine="624" w:firstLineChars="200"/>
        <w:rPr>
          <w:rStyle w:val="8"/>
          <w:rFonts w:ascii="黑体" w:hAnsi="黑体" w:eastAsia="黑体" w:cs="黑体"/>
          <w:b w:val="0"/>
          <w:spacing w:val="-4"/>
          <w:sz w:val="32"/>
          <w:szCs w:val="32"/>
        </w:rPr>
      </w:pPr>
      <w:r>
        <w:rPr>
          <w:rStyle w:val="8"/>
          <w:rFonts w:hint="eastAsia" w:ascii="黑体" w:hAnsi="黑体" w:eastAsia="黑体" w:cs="黑体"/>
          <w:b w:val="0"/>
          <w:spacing w:val="-4"/>
          <w:sz w:val="32"/>
          <w:szCs w:val="32"/>
        </w:rPr>
        <w:t>（六）指标六：服务对象满意度</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无此项指标。</w:t>
      </w:r>
    </w:p>
    <w:p>
      <w:pPr>
        <w:pStyle w:val="11"/>
        <w:snapToGrid w:val="0"/>
        <w:spacing w:line="600" w:lineRule="exact"/>
        <w:ind w:firstLine="624"/>
        <w:rPr>
          <w:rStyle w:val="8"/>
          <w:rFonts w:ascii="黑体" w:hAnsi="黑体" w:eastAsia="黑体"/>
          <w:b w:val="0"/>
          <w:bCs w:val="0"/>
          <w:spacing w:val="-4"/>
          <w:sz w:val="32"/>
          <w:szCs w:val="32"/>
        </w:rPr>
      </w:pPr>
      <w:r>
        <w:rPr>
          <w:rStyle w:val="8"/>
          <w:rFonts w:hint="eastAsia" w:ascii="黑体" w:hAnsi="黑体" w:eastAsia="黑体"/>
          <w:b w:val="0"/>
          <w:bCs w:val="0"/>
          <w:spacing w:val="-4"/>
          <w:sz w:val="32"/>
          <w:szCs w:val="32"/>
        </w:rPr>
        <w:t>四、评价结论</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本部门严格按照科学公正、统筹兼顾、激励约束、公开透明的绩效评价原则，对本部门预算执行情况、部门单位整体支出管理及使用情况、部门单位整体支出绩效指标完成情况等进行了综合评价。</w:t>
      </w:r>
    </w:p>
    <w:p>
      <w:pPr>
        <w:spacing w:line="600" w:lineRule="exact"/>
        <w:ind w:firstLine="624" w:firstLineChars="200"/>
        <w:rPr>
          <w:rStyle w:val="8"/>
          <w:rFonts w:ascii="仿宋" w:hAnsi="仿宋" w:eastAsia="仿宋" w:cs="仿宋"/>
          <w:b w:val="0"/>
          <w:spacing w:val="-4"/>
          <w:sz w:val="32"/>
          <w:szCs w:val="32"/>
        </w:rPr>
      </w:pPr>
      <w:r>
        <w:rPr>
          <w:rStyle w:val="8"/>
          <w:rFonts w:hint="eastAsia" w:ascii="仿宋" w:hAnsi="仿宋" w:eastAsia="仿宋" w:cs="仿宋"/>
          <w:b w:val="0"/>
          <w:spacing w:val="-4"/>
          <w:sz w:val="32"/>
          <w:szCs w:val="32"/>
        </w:rPr>
        <w:t>2023年度部门整体支出绩效自评综合得分55分，评价结果为“差”。</w:t>
      </w:r>
    </w:p>
    <w:p>
      <w:pPr>
        <w:pStyle w:val="11"/>
        <w:snapToGrid w:val="0"/>
        <w:spacing w:line="600" w:lineRule="exact"/>
        <w:ind w:firstLine="624"/>
        <w:rPr>
          <w:rStyle w:val="8"/>
          <w:rFonts w:ascii="黑体" w:hAnsi="黑体" w:eastAsia="黑体" w:cs="黑体"/>
          <w:b w:val="0"/>
          <w:bCs w:val="0"/>
          <w:spacing w:val="-4"/>
          <w:sz w:val="32"/>
          <w:szCs w:val="32"/>
        </w:rPr>
      </w:pPr>
      <w:r>
        <w:rPr>
          <w:rStyle w:val="8"/>
          <w:rFonts w:hint="eastAsia" w:ascii="黑体" w:hAnsi="黑体" w:eastAsia="黑体" w:cs="黑体"/>
          <w:b w:val="0"/>
          <w:bCs w:val="0"/>
          <w:spacing w:val="-4"/>
          <w:sz w:val="32"/>
          <w:szCs w:val="32"/>
        </w:rPr>
        <w:t>五、存在的主要问题及原因分析</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近年来，通过加强我单位预算绩效管理工作，使各部门牢固树立“讲绩效、重绩效、用绩效”的观念，但在具体工作中也存在一些问题需要解决：一是开展预算绩效管理水平有待提高。二是已全部完成但数据涉密无法上传相关资料，数据出现偏，评价目标需精细化，评价指标体系需要进一步完善。</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下一步我单位将积极采取措施，结合市财政提供学习培训机会，针对预算绩效管理工作开展系统的培训，加强把握工作重点，提高预算绩效管理工作水平，进一步完善。</w:t>
      </w:r>
    </w:p>
    <w:p>
      <w:pPr>
        <w:pStyle w:val="11"/>
        <w:snapToGrid w:val="0"/>
        <w:spacing w:line="600" w:lineRule="exact"/>
        <w:ind w:firstLine="624"/>
        <w:rPr>
          <w:rStyle w:val="8"/>
          <w:rFonts w:ascii="黑体" w:hAnsi="黑体" w:eastAsia="黑体" w:cs="黑体"/>
          <w:b w:val="0"/>
          <w:bCs w:val="0"/>
          <w:spacing w:val="-4"/>
          <w:sz w:val="32"/>
          <w:szCs w:val="32"/>
        </w:rPr>
      </w:pPr>
      <w:r>
        <w:rPr>
          <w:rStyle w:val="8"/>
          <w:rFonts w:hint="eastAsia" w:ascii="黑体" w:hAnsi="黑体" w:eastAsia="黑体" w:cs="黑体"/>
          <w:b w:val="0"/>
          <w:bCs w:val="0"/>
          <w:spacing w:val="-4"/>
          <w:sz w:val="32"/>
          <w:szCs w:val="32"/>
        </w:rPr>
        <w:t>六、改进措施和建议</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1.改进措施：</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制定和完善基本支出、项目支出等各项支出标准,严格按项目进度执行预算, 增强预算的约束力和严肃性。落实预算执行分析,及时了解预算执行差异,合理调整、纠正预算执行偏差，切实提高部门预算收支管理水平。尽可能地做到决算与预算相衔接。</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强化内部控制管理。严格按规定做好绩效目标申报、自评、 公开等相关工作，提高财政资金使用绩效；加强实物资产管理，健全资产管理制度，规范资产清查和核算。以财务为重点，不断提高理论研究的能力和水平，努力为反腐倡廉建设提供理论支持。</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2.意见及建议</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落实预算执行分析,及时了解预算执行差异,合理调整、纠正预算执行偏差，切实提高部门预算收支管理水平。尽可能地做到决算与预算相衔接。</w:t>
      </w:r>
    </w:p>
    <w:p>
      <w:pPr>
        <w:pStyle w:val="11"/>
        <w:snapToGrid w:val="0"/>
        <w:spacing w:line="600" w:lineRule="exact"/>
        <w:ind w:firstLine="624"/>
        <w:rPr>
          <w:rStyle w:val="8"/>
          <w:rFonts w:ascii="仿宋" w:hAnsi="仿宋" w:eastAsia="仿宋" w:cs="仿宋"/>
          <w:b w:val="0"/>
          <w:bCs w:val="0"/>
          <w:spacing w:val="-4"/>
          <w:sz w:val="32"/>
          <w:szCs w:val="32"/>
        </w:rPr>
      </w:pPr>
      <w:r>
        <w:rPr>
          <w:rStyle w:val="8"/>
          <w:rFonts w:hint="eastAsia" w:ascii="仿宋" w:hAnsi="仿宋" w:eastAsia="仿宋" w:cs="仿宋"/>
          <w:b w:val="0"/>
          <w:bCs w:val="0"/>
          <w:spacing w:val="-4"/>
          <w:sz w:val="32"/>
          <w:szCs w:val="32"/>
        </w:rPr>
        <w:t>强化内部控制管理。严格按规定做好绩效目标申报、自评、 公开等相关工作，本单位预算绩效管理工作水平有限，开展预算绩效管理水平有待提高，财政部门应对单位管理人员及财务人员预算绩效管理系统培训。</w:t>
      </w:r>
    </w:p>
    <w:p>
      <w:pPr>
        <w:pStyle w:val="11"/>
        <w:snapToGrid w:val="0"/>
        <w:spacing w:line="600" w:lineRule="exact"/>
        <w:ind w:firstLine="624"/>
        <w:rPr>
          <w:rStyle w:val="8"/>
          <w:rFonts w:ascii="黑体" w:hAnsi="黑体" w:eastAsia="黑体" w:cs="黑体"/>
          <w:b w:val="0"/>
          <w:bCs w:val="0"/>
          <w:spacing w:val="-4"/>
          <w:sz w:val="32"/>
          <w:szCs w:val="32"/>
        </w:rPr>
      </w:pPr>
      <w:r>
        <w:rPr>
          <w:rStyle w:val="8"/>
          <w:rFonts w:hint="eastAsia" w:ascii="黑体" w:hAnsi="黑体" w:eastAsia="黑体" w:cs="黑体"/>
          <w:b w:val="0"/>
          <w:bCs w:val="0"/>
          <w:spacing w:val="-4"/>
          <w:sz w:val="32"/>
          <w:szCs w:val="32"/>
        </w:rPr>
        <w:t>七、附表：《部门整体支出绩效自评表》</w:t>
      </w:r>
    </w:p>
    <w:sectPr>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874E3AC-D9E9-4B7F-8879-8B5F6A5D0B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7A1CB6CC-F799-4FAB-A57C-09EDA4E01424}"/>
  </w:font>
  <w:font w:name="仿宋_GB2312">
    <w:altName w:val="仿宋"/>
    <w:panose1 w:val="02010609030101010101"/>
    <w:charset w:val="86"/>
    <w:family w:val="modern"/>
    <w:pitch w:val="default"/>
    <w:sig w:usb0="00000000" w:usb1="00000000" w:usb2="00000010" w:usb3="00000000" w:csb0="00040000" w:csb1="00000000"/>
    <w:embedRegular r:id="rId3" w:fontKey="{7B0822F3-2EA3-4928-AA5F-1E67BD1C2DFF}"/>
  </w:font>
  <w:font w:name="楷体">
    <w:panose1 w:val="02010609060101010101"/>
    <w:charset w:val="86"/>
    <w:family w:val="modern"/>
    <w:pitch w:val="default"/>
    <w:sig w:usb0="800002BF" w:usb1="38CF7CFA" w:usb2="00000016" w:usb3="00000000" w:csb0="00040001" w:csb1="00000000"/>
    <w:embedRegular r:id="rId4" w:fontKey="{68591EF6-5AAB-4280-8AEF-64A900B03A9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5F7791"/>
    <w:rsid w:val="00633862"/>
    <w:rsid w:val="006C5BED"/>
    <w:rsid w:val="00702D4A"/>
    <w:rsid w:val="007115C8"/>
    <w:rsid w:val="007A29DF"/>
    <w:rsid w:val="00867FFD"/>
    <w:rsid w:val="00886437"/>
    <w:rsid w:val="0097614B"/>
    <w:rsid w:val="00A47F12"/>
    <w:rsid w:val="00AA5126"/>
    <w:rsid w:val="00AD16CD"/>
    <w:rsid w:val="00CD2F35"/>
    <w:rsid w:val="00DB1085"/>
    <w:rsid w:val="00EA14FA"/>
    <w:rsid w:val="00F84215"/>
    <w:rsid w:val="010E0C0C"/>
    <w:rsid w:val="016D0077"/>
    <w:rsid w:val="022B5919"/>
    <w:rsid w:val="02330D81"/>
    <w:rsid w:val="02355837"/>
    <w:rsid w:val="023B0973"/>
    <w:rsid w:val="02610413"/>
    <w:rsid w:val="02ED7BD3"/>
    <w:rsid w:val="02F163A2"/>
    <w:rsid w:val="02FE786C"/>
    <w:rsid w:val="03190E10"/>
    <w:rsid w:val="03341650"/>
    <w:rsid w:val="036F2FCB"/>
    <w:rsid w:val="03B2599D"/>
    <w:rsid w:val="03E27686"/>
    <w:rsid w:val="043C5F8E"/>
    <w:rsid w:val="049941F3"/>
    <w:rsid w:val="04A60F90"/>
    <w:rsid w:val="04D2103C"/>
    <w:rsid w:val="04D550AF"/>
    <w:rsid w:val="0509486B"/>
    <w:rsid w:val="053F0688"/>
    <w:rsid w:val="055206D8"/>
    <w:rsid w:val="06B83B39"/>
    <w:rsid w:val="06DE29E2"/>
    <w:rsid w:val="071579E5"/>
    <w:rsid w:val="07702E6D"/>
    <w:rsid w:val="07A86AAB"/>
    <w:rsid w:val="07C65825"/>
    <w:rsid w:val="09067414"/>
    <w:rsid w:val="09170A81"/>
    <w:rsid w:val="0AC27E84"/>
    <w:rsid w:val="0B0F5B25"/>
    <w:rsid w:val="0BD256C9"/>
    <w:rsid w:val="0D3F0613"/>
    <w:rsid w:val="0D617282"/>
    <w:rsid w:val="0F661726"/>
    <w:rsid w:val="0F772EC6"/>
    <w:rsid w:val="0F877334"/>
    <w:rsid w:val="0FCC4D5C"/>
    <w:rsid w:val="10182B28"/>
    <w:rsid w:val="109160DD"/>
    <w:rsid w:val="10947BCD"/>
    <w:rsid w:val="114B3E5E"/>
    <w:rsid w:val="115E3FEE"/>
    <w:rsid w:val="116B384E"/>
    <w:rsid w:val="11DD16C8"/>
    <w:rsid w:val="12425B9B"/>
    <w:rsid w:val="127A77C1"/>
    <w:rsid w:val="130A20A3"/>
    <w:rsid w:val="13352CE1"/>
    <w:rsid w:val="137D6878"/>
    <w:rsid w:val="13E07D60"/>
    <w:rsid w:val="150177FB"/>
    <w:rsid w:val="15875F52"/>
    <w:rsid w:val="15B73666"/>
    <w:rsid w:val="15C42D02"/>
    <w:rsid w:val="168A2EA6"/>
    <w:rsid w:val="17D5194F"/>
    <w:rsid w:val="180A4FDB"/>
    <w:rsid w:val="1840056E"/>
    <w:rsid w:val="192177D8"/>
    <w:rsid w:val="196A001E"/>
    <w:rsid w:val="198331C0"/>
    <w:rsid w:val="19AD1CFF"/>
    <w:rsid w:val="19C92FDD"/>
    <w:rsid w:val="19DB061A"/>
    <w:rsid w:val="19E576EB"/>
    <w:rsid w:val="19FF664E"/>
    <w:rsid w:val="1A091F78"/>
    <w:rsid w:val="1A1D7D93"/>
    <w:rsid w:val="1A312114"/>
    <w:rsid w:val="1A6D6D72"/>
    <w:rsid w:val="1AEB4D61"/>
    <w:rsid w:val="1C230AC0"/>
    <w:rsid w:val="1C615CEF"/>
    <w:rsid w:val="1CAC441E"/>
    <w:rsid w:val="1CDA72AF"/>
    <w:rsid w:val="1D632B53"/>
    <w:rsid w:val="1D7602A9"/>
    <w:rsid w:val="1DC83D3D"/>
    <w:rsid w:val="1E613949"/>
    <w:rsid w:val="1E6C2A94"/>
    <w:rsid w:val="1EAE0073"/>
    <w:rsid w:val="1F195A2C"/>
    <w:rsid w:val="1F664938"/>
    <w:rsid w:val="205102FB"/>
    <w:rsid w:val="20762FC4"/>
    <w:rsid w:val="212C60E2"/>
    <w:rsid w:val="21DB6E7F"/>
    <w:rsid w:val="21DE15EF"/>
    <w:rsid w:val="23021A8B"/>
    <w:rsid w:val="2320540D"/>
    <w:rsid w:val="23254B60"/>
    <w:rsid w:val="236E0539"/>
    <w:rsid w:val="23857840"/>
    <w:rsid w:val="23E6478B"/>
    <w:rsid w:val="2422471A"/>
    <w:rsid w:val="24A85EE5"/>
    <w:rsid w:val="24DB72C2"/>
    <w:rsid w:val="25954D25"/>
    <w:rsid w:val="263962DE"/>
    <w:rsid w:val="276460F3"/>
    <w:rsid w:val="27660FAF"/>
    <w:rsid w:val="276D1F4A"/>
    <w:rsid w:val="277166D1"/>
    <w:rsid w:val="277B4318"/>
    <w:rsid w:val="27B7194D"/>
    <w:rsid w:val="27E37B45"/>
    <w:rsid w:val="280600C8"/>
    <w:rsid w:val="28081174"/>
    <w:rsid w:val="28481571"/>
    <w:rsid w:val="28722F64"/>
    <w:rsid w:val="289B5D70"/>
    <w:rsid w:val="290A1EBC"/>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0D6E2A"/>
    <w:rsid w:val="2C3F44FD"/>
    <w:rsid w:val="2C4B50AF"/>
    <w:rsid w:val="2C8903AA"/>
    <w:rsid w:val="2CD01740"/>
    <w:rsid w:val="2CE43832"/>
    <w:rsid w:val="2DAA6B58"/>
    <w:rsid w:val="2DB034FA"/>
    <w:rsid w:val="2E4A4A48"/>
    <w:rsid w:val="2E57171B"/>
    <w:rsid w:val="2F8715FA"/>
    <w:rsid w:val="2FB43990"/>
    <w:rsid w:val="2FC040E2"/>
    <w:rsid w:val="2FED3297"/>
    <w:rsid w:val="30143D58"/>
    <w:rsid w:val="30240D0F"/>
    <w:rsid w:val="308158E7"/>
    <w:rsid w:val="309817B5"/>
    <w:rsid w:val="30A86679"/>
    <w:rsid w:val="31505F30"/>
    <w:rsid w:val="3177520D"/>
    <w:rsid w:val="31C7249B"/>
    <w:rsid w:val="31FB7654"/>
    <w:rsid w:val="32565D7D"/>
    <w:rsid w:val="336E47B8"/>
    <w:rsid w:val="337D2302"/>
    <w:rsid w:val="3388293F"/>
    <w:rsid w:val="33935522"/>
    <w:rsid w:val="33DE0EF4"/>
    <w:rsid w:val="33E34918"/>
    <w:rsid w:val="3416678C"/>
    <w:rsid w:val="34486A39"/>
    <w:rsid w:val="34C13400"/>
    <w:rsid w:val="34F32864"/>
    <w:rsid w:val="352F1070"/>
    <w:rsid w:val="35386E11"/>
    <w:rsid w:val="35612ABD"/>
    <w:rsid w:val="365975D8"/>
    <w:rsid w:val="375B2943"/>
    <w:rsid w:val="37A25551"/>
    <w:rsid w:val="38086A4E"/>
    <w:rsid w:val="38C32119"/>
    <w:rsid w:val="38EE054F"/>
    <w:rsid w:val="39440A0C"/>
    <w:rsid w:val="398443D3"/>
    <w:rsid w:val="398C3287"/>
    <w:rsid w:val="39A60AF6"/>
    <w:rsid w:val="39EA2953"/>
    <w:rsid w:val="3AA12D62"/>
    <w:rsid w:val="3B2319C9"/>
    <w:rsid w:val="3B5D5890"/>
    <w:rsid w:val="3B6A2986"/>
    <w:rsid w:val="3BA6683D"/>
    <w:rsid w:val="3BC431AC"/>
    <w:rsid w:val="3BFB54CE"/>
    <w:rsid w:val="3C012639"/>
    <w:rsid w:val="3DA52B6A"/>
    <w:rsid w:val="3E833FCF"/>
    <w:rsid w:val="3EE3321B"/>
    <w:rsid w:val="3EE93EED"/>
    <w:rsid w:val="3F177A97"/>
    <w:rsid w:val="3F616044"/>
    <w:rsid w:val="3FF57BF1"/>
    <w:rsid w:val="40232A7A"/>
    <w:rsid w:val="40F22C2C"/>
    <w:rsid w:val="41590DEA"/>
    <w:rsid w:val="416C231C"/>
    <w:rsid w:val="41C31810"/>
    <w:rsid w:val="41D22098"/>
    <w:rsid w:val="41D659E7"/>
    <w:rsid w:val="42141599"/>
    <w:rsid w:val="42894651"/>
    <w:rsid w:val="428A15BF"/>
    <w:rsid w:val="42BB7663"/>
    <w:rsid w:val="432A3936"/>
    <w:rsid w:val="434765EB"/>
    <w:rsid w:val="43A3164E"/>
    <w:rsid w:val="43C43532"/>
    <w:rsid w:val="43F77637"/>
    <w:rsid w:val="44332E1A"/>
    <w:rsid w:val="44692B43"/>
    <w:rsid w:val="44BF2CE3"/>
    <w:rsid w:val="44BF6C07"/>
    <w:rsid w:val="44C22497"/>
    <w:rsid w:val="460C61EC"/>
    <w:rsid w:val="462C7B1B"/>
    <w:rsid w:val="46BF2EEE"/>
    <w:rsid w:val="47013FF5"/>
    <w:rsid w:val="484A2C8B"/>
    <w:rsid w:val="48500FEB"/>
    <w:rsid w:val="49284D7B"/>
    <w:rsid w:val="49487285"/>
    <w:rsid w:val="49543DC1"/>
    <w:rsid w:val="49984D54"/>
    <w:rsid w:val="4A0F39E7"/>
    <w:rsid w:val="4B364032"/>
    <w:rsid w:val="4B3B68BB"/>
    <w:rsid w:val="4B443785"/>
    <w:rsid w:val="4B537C75"/>
    <w:rsid w:val="4BE53646"/>
    <w:rsid w:val="4C040408"/>
    <w:rsid w:val="4C431ECB"/>
    <w:rsid w:val="4CC33C9F"/>
    <w:rsid w:val="4E760D0B"/>
    <w:rsid w:val="4E8F65E3"/>
    <w:rsid w:val="4EC5119F"/>
    <w:rsid w:val="4EC80245"/>
    <w:rsid w:val="4ED65AC3"/>
    <w:rsid w:val="4F15178C"/>
    <w:rsid w:val="4F596A69"/>
    <w:rsid w:val="50063DD3"/>
    <w:rsid w:val="504133D8"/>
    <w:rsid w:val="505863A4"/>
    <w:rsid w:val="50591CBD"/>
    <w:rsid w:val="50A240F7"/>
    <w:rsid w:val="51971C1E"/>
    <w:rsid w:val="51FF2E33"/>
    <w:rsid w:val="525877BC"/>
    <w:rsid w:val="5272504D"/>
    <w:rsid w:val="52CA50F4"/>
    <w:rsid w:val="543D24BF"/>
    <w:rsid w:val="548754B8"/>
    <w:rsid w:val="54CA318A"/>
    <w:rsid w:val="55463ADD"/>
    <w:rsid w:val="55517AB0"/>
    <w:rsid w:val="55FC1391"/>
    <w:rsid w:val="561221DD"/>
    <w:rsid w:val="57192BB8"/>
    <w:rsid w:val="5734671F"/>
    <w:rsid w:val="57423EBA"/>
    <w:rsid w:val="574A0155"/>
    <w:rsid w:val="57813298"/>
    <w:rsid w:val="57AE7CE9"/>
    <w:rsid w:val="57BB500C"/>
    <w:rsid w:val="58753EBA"/>
    <w:rsid w:val="58E426FC"/>
    <w:rsid w:val="58F42868"/>
    <w:rsid w:val="58FC3B2E"/>
    <w:rsid w:val="59063548"/>
    <w:rsid w:val="59377F46"/>
    <w:rsid w:val="5A6776CD"/>
    <w:rsid w:val="5ADD1E8F"/>
    <w:rsid w:val="5AE6303A"/>
    <w:rsid w:val="5B155A7C"/>
    <w:rsid w:val="5B442B97"/>
    <w:rsid w:val="5B745BFD"/>
    <w:rsid w:val="5B977B3E"/>
    <w:rsid w:val="5C5B0B6B"/>
    <w:rsid w:val="5CB643E4"/>
    <w:rsid w:val="5D8D11F8"/>
    <w:rsid w:val="5E2D5305"/>
    <w:rsid w:val="5F1D65AC"/>
    <w:rsid w:val="5F230066"/>
    <w:rsid w:val="5F41229A"/>
    <w:rsid w:val="5F814D8D"/>
    <w:rsid w:val="5FA47678"/>
    <w:rsid w:val="5FAD1221"/>
    <w:rsid w:val="5FE455B0"/>
    <w:rsid w:val="60504E56"/>
    <w:rsid w:val="60535261"/>
    <w:rsid w:val="60E565A9"/>
    <w:rsid w:val="61CB51BB"/>
    <w:rsid w:val="627A5057"/>
    <w:rsid w:val="62A033DD"/>
    <w:rsid w:val="62B113CD"/>
    <w:rsid w:val="62D376AD"/>
    <w:rsid w:val="63002758"/>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7819FB"/>
    <w:rsid w:val="699F5DE9"/>
    <w:rsid w:val="6A726EA4"/>
    <w:rsid w:val="6A9776F8"/>
    <w:rsid w:val="6AAF0A00"/>
    <w:rsid w:val="6AEF34F2"/>
    <w:rsid w:val="6B234F4A"/>
    <w:rsid w:val="6C091ED1"/>
    <w:rsid w:val="6C5F0204"/>
    <w:rsid w:val="6C69186D"/>
    <w:rsid w:val="6C7D443F"/>
    <w:rsid w:val="6C8851EE"/>
    <w:rsid w:val="6CCF1622"/>
    <w:rsid w:val="6CE7035E"/>
    <w:rsid w:val="6DB1246A"/>
    <w:rsid w:val="6DC3396D"/>
    <w:rsid w:val="6EAE5472"/>
    <w:rsid w:val="6F046074"/>
    <w:rsid w:val="6F1D4724"/>
    <w:rsid w:val="6FF72A11"/>
    <w:rsid w:val="702F5608"/>
    <w:rsid w:val="708F2CC4"/>
    <w:rsid w:val="709444F0"/>
    <w:rsid w:val="71182116"/>
    <w:rsid w:val="71205936"/>
    <w:rsid w:val="71477CCB"/>
    <w:rsid w:val="7178018F"/>
    <w:rsid w:val="71BA40BB"/>
    <w:rsid w:val="71CD052F"/>
    <w:rsid w:val="72635818"/>
    <w:rsid w:val="730C3B8C"/>
    <w:rsid w:val="73740A39"/>
    <w:rsid w:val="73D43285"/>
    <w:rsid w:val="742B746E"/>
    <w:rsid w:val="74736F42"/>
    <w:rsid w:val="74CA0662"/>
    <w:rsid w:val="74CA7F29"/>
    <w:rsid w:val="752B1D3E"/>
    <w:rsid w:val="75790D99"/>
    <w:rsid w:val="75913D16"/>
    <w:rsid w:val="763C0048"/>
    <w:rsid w:val="77135965"/>
    <w:rsid w:val="77262B54"/>
    <w:rsid w:val="772D4414"/>
    <w:rsid w:val="773A5C43"/>
    <w:rsid w:val="775947BB"/>
    <w:rsid w:val="77662ADA"/>
    <w:rsid w:val="77AD276B"/>
    <w:rsid w:val="77B87094"/>
    <w:rsid w:val="77C96E08"/>
    <w:rsid w:val="78E27C50"/>
    <w:rsid w:val="79500F4C"/>
    <w:rsid w:val="7986195D"/>
    <w:rsid w:val="79E005EE"/>
    <w:rsid w:val="7A044DC4"/>
    <w:rsid w:val="7A0E3938"/>
    <w:rsid w:val="7A6E145C"/>
    <w:rsid w:val="7A865511"/>
    <w:rsid w:val="7AA20E97"/>
    <w:rsid w:val="7AAA4D40"/>
    <w:rsid w:val="7ABC4A73"/>
    <w:rsid w:val="7AC10876"/>
    <w:rsid w:val="7B2F16E9"/>
    <w:rsid w:val="7B334ED0"/>
    <w:rsid w:val="7C4B6886"/>
    <w:rsid w:val="7C71236F"/>
    <w:rsid w:val="7C7B25BC"/>
    <w:rsid w:val="7C890CA4"/>
    <w:rsid w:val="7C8D2B6B"/>
    <w:rsid w:val="7D360B0D"/>
    <w:rsid w:val="7D55069E"/>
    <w:rsid w:val="7D670C49"/>
    <w:rsid w:val="7D711B45"/>
    <w:rsid w:val="7E5F5E41"/>
    <w:rsid w:val="7E78432D"/>
    <w:rsid w:val="7E8E02D3"/>
    <w:rsid w:val="7EA902C5"/>
    <w:rsid w:val="7EAA3560"/>
    <w:rsid w:val="7ECF553C"/>
    <w:rsid w:val="7EDB560F"/>
    <w:rsid w:val="7EF10E29"/>
    <w:rsid w:val="7FB364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0"/>
    <w:pPr>
      <w:keepNext/>
      <w:keepLines/>
      <w:spacing w:line="560" w:lineRule="exact"/>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0"/>
    <w:rPr>
      <w:b/>
      <w:bCs/>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671</Words>
  <Characters>3827</Characters>
  <Lines>31</Lines>
  <Paragraphs>8</Paragraphs>
  <TotalTime>2</TotalTime>
  <ScaleCrop>false</ScaleCrop>
  <LinksUpToDate>false</LinksUpToDate>
  <CharactersWithSpaces>4490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2024-08-20T10:04:00Z</dcterms:created>
  <dc:creator>jc</dc:creator>
  <cp:lastModifiedBy>Administrator</cp:lastModifiedBy>
  <cp:lastPrinted>2024-05-09T12:00:00Z</cp:lastPrinted>
  <dcterms:modified xsi:type="dcterms:W3CDTF">2024-08-22T03:41:21Z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EF8578FBD60F47F7B3CD961A52C75BC0_13</vt:lpwstr>
  </property>
</Properties>
</file>