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中共库尔勒市直属机关工作委员会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val="en-US"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val="en-US"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1、宣传和执行党的路线、方针、政策，宣传和执行中央上级组织和本组织的决议，发挥党组织的战斗堡垒作用和党员的先锋模范作用，支持和协助行政负责人完成本单位所负担的各项工作任务。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2、组织党员认真学习马克思列宁主义、毛泽东思想邓小平理论、“三个代表”重要思想和党的路线、方针、政策以及决议，学习科学文化和业务知识。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3、对党员进行严格管理，督促党员履行义务，保障人员的权利不受侵犯。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4、对党员进行监督，严格执行党的纪律，加强党风廉政建设，坚决同腐败现象作斗争。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5、做好机关工作人员的思想政治工作 ，推进机关社会主义精神文明建设，了解、反映群众的意见，维护群众的正当权益,帮助群众解决实际困难。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6、对入党积极分子进行教育、培养和考察，做好发展党员工作。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7、协助市委管理机关党组织和群众组织的干部，配合干部人事部门对机关行政领导干部进行考核和民主评议，对机关行政干部的任免、调动和奖惩提出意见和建议。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8、领导机关工会、共青团、妇委会等群众组织，支持这些组织依照各自的章程独立负责地开展工作。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仿宋_GB2312" w:eastAsia="仿宋_GB2312"/>
          <w:color w:val="auto"/>
          <w:sz w:val="32"/>
          <w:szCs w:val="32"/>
          <w:highlight w:val="none"/>
        </w:rPr>
        <w:t>9、按照党组织的隶属关系，领导直属单位党的工作。</w:t>
      </w: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中共库尔勒市直属机关工作委员会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w:t>
      </w:r>
      <w:r>
        <w:rPr>
          <w:rFonts w:hint="eastAsia" w:ascii="仿宋_GB2312" w:hAnsi="宋体" w:eastAsia="仿宋_GB2312" w:cs="宋体"/>
          <w:color w:val="auto"/>
          <w:kern w:val="0"/>
          <w:sz w:val="32"/>
          <w:szCs w:val="32"/>
          <w:highlight w:val="none"/>
        </w:rPr>
        <w:t>分别是：中共库尔勒市直属机关工作委员会办公室。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104.25万元，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104.25万元，使用非财政拨款结余0.00万元，年初结转和结余0.00万元。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104.25万元，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104.25万元，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增加2.80万元</w:t>
      </w:r>
      <w:r>
        <w:rPr>
          <w:rFonts w:hint="eastAsia" w:ascii="仿宋_GB2312" w:eastAsia="仿宋_GB2312"/>
          <w:color w:val="auto"/>
          <w:spacing w:val="0"/>
          <w:sz w:val="32"/>
          <w:szCs w:val="32"/>
          <w:highlight w:val="none"/>
          <w:lang w:eastAsia="zh-CN"/>
        </w:rPr>
        <w:t>，增长2.76%，主要原因是：</w:t>
      </w:r>
      <w:r>
        <w:rPr>
          <w:rFonts w:hint="eastAsia" w:ascii="仿宋_GB2312" w:eastAsia="仿宋_GB2312"/>
          <w:color w:val="auto"/>
          <w:spacing w:val="0"/>
          <w:sz w:val="32"/>
          <w:szCs w:val="32"/>
          <w:highlight w:val="none"/>
          <w:lang w:val="en-US" w:eastAsia="zh-CN"/>
        </w:rPr>
        <w:t>人员工资基数增长、社保基数增大，增加了人员经费支出。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104.25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104.25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本年支出104.25万元，其中：基本支出104.25万元，占100.00%；项目支出0.00万元，占0.00%；上缴上级支出0.00万元，占0.00%；经营支出0.00万元，占0.00%；对附属单位补助支出0.00万元，占0.00%。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104.25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104.25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104.25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104.25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增加2.80万元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增长2.76%,</w:t>
      </w:r>
      <w:r>
        <w:rPr>
          <w:rFonts w:hint="eastAsia" w:ascii="仿宋_GB2312" w:eastAsia="仿宋_GB2312"/>
          <w:color w:val="auto"/>
          <w:spacing w:val="0"/>
          <w:sz w:val="32"/>
          <w:szCs w:val="32"/>
          <w:highlight w:val="none"/>
          <w:lang w:eastAsia="zh-CN"/>
        </w:rPr>
        <w:t>主要原因是：2023年增加了党建工作业务费，增加了其他车辆费用支出。与年初预算相比，年初预算数</w:t>
      </w:r>
      <w:r>
        <w:rPr>
          <w:rFonts w:hint="eastAsia" w:ascii="仿宋_GB2312" w:eastAsia="仿宋_GB2312"/>
          <w:color w:val="auto"/>
          <w:spacing w:val="0"/>
          <w:sz w:val="32"/>
          <w:szCs w:val="32"/>
          <w:highlight w:val="none"/>
          <w:lang w:val="zh-CN" w:eastAsia="zh-CN"/>
        </w:rPr>
        <w:t>123.39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104.25</w:t>
      </w:r>
      <w:r>
        <w:rPr>
          <w:rFonts w:hint="eastAsia" w:ascii="仿宋_GB2312" w:eastAsia="仿宋_GB2312"/>
          <w:color w:val="auto"/>
          <w:spacing w:val="0"/>
          <w:sz w:val="32"/>
          <w:szCs w:val="32"/>
          <w:highlight w:val="none"/>
          <w:lang w:eastAsia="zh-CN"/>
        </w:rPr>
        <w:t>万元，预决算差异率-15.51%，主要原因是：</w:t>
      </w:r>
      <w:bookmarkStart w:id="48" w:name="_GoBack"/>
      <w:bookmarkEnd w:id="48"/>
      <w:r>
        <w:rPr>
          <w:rFonts w:hint="eastAsia" w:ascii="仿宋_GB2312" w:eastAsia="仿宋_GB2312"/>
          <w:color w:val="auto"/>
          <w:spacing w:val="0"/>
          <w:sz w:val="32"/>
          <w:szCs w:val="32"/>
          <w:highlight w:val="none"/>
          <w:lang w:eastAsia="zh-CN"/>
        </w:rPr>
        <w:t>厉行节约，精简其他各项办公支出。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2023年度一般公共预算财政拨款支出104.25万元，占本年支出合计的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增加2.80万元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增长2.76%,</w:t>
      </w:r>
      <w:r>
        <w:rPr>
          <w:rFonts w:hint="eastAsia" w:ascii="仿宋_GB2312" w:eastAsia="仿宋_GB2312"/>
          <w:color w:val="auto"/>
          <w:spacing w:val="0"/>
          <w:sz w:val="32"/>
          <w:szCs w:val="32"/>
          <w:highlight w:val="none"/>
          <w:lang w:eastAsia="zh-CN"/>
        </w:rPr>
        <w:t>主要原因是：2023年增加了党建工作业务费，增加了其他车辆费用支出。与年初预算相比，年初预算数</w:t>
      </w:r>
      <w:r>
        <w:rPr>
          <w:rFonts w:hint="eastAsia" w:ascii="仿宋_GB2312" w:eastAsia="仿宋_GB2312"/>
          <w:color w:val="auto"/>
          <w:spacing w:val="0"/>
          <w:sz w:val="32"/>
          <w:szCs w:val="32"/>
          <w:highlight w:val="none"/>
          <w:lang w:val="zh-CN" w:eastAsia="zh-CN"/>
        </w:rPr>
        <w:t>123.39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104.25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-15.51%</w:t>
      </w:r>
      <w:r>
        <w:rPr>
          <w:rFonts w:hint="eastAsia" w:ascii="仿宋_GB2312" w:eastAsia="仿宋_GB2312"/>
          <w:color w:val="auto"/>
          <w:spacing w:val="0"/>
          <w:sz w:val="32"/>
          <w:szCs w:val="32"/>
          <w:highlight w:val="none"/>
          <w:lang w:eastAsia="zh-CN"/>
        </w:rPr>
        <w:t>，主要原因是：厉行节约，精简其他各项办公支出。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79.22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75.98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0.58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0.55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10.90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10.46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6.84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6.56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6.45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.一般公共服务支出（类）其他共产党事务支出（款）行政运行（项）:支出决算数为76.22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8.55%，主要原因是：本年</w:t>
      </w:r>
      <w:r>
        <w:rPr>
          <w:rFonts w:hint="eastAsia" w:eastAsia="仿宋_GB2312" w:cs="Times New Roman"/>
          <w:color w:val="auto"/>
          <w:kern w:val="2"/>
          <w:sz w:val="32"/>
          <w:szCs w:val="32"/>
          <w:highlight w:val="none"/>
          <w:lang w:val="en-US" w:eastAsia="zh-CN" w:bidi="ar-SA"/>
        </w:rPr>
        <w:t>新增离职人员</w:t>
      </w:r>
      <w:r>
        <w:rPr>
          <w:rFonts w:hint="eastAsia" w:ascii="Times New Roman" w:hAnsi="Times New Roman" w:eastAsia="仿宋_GB2312" w:cs="Times New Roman"/>
          <w:color w:val="auto"/>
          <w:kern w:val="2"/>
          <w:sz w:val="32"/>
          <w:szCs w:val="32"/>
          <w:highlight w:val="none"/>
          <w:lang w:val="en-US" w:eastAsia="zh-CN" w:bidi="ar-SA"/>
        </w:rPr>
        <w:t>，公用经费减少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.一般公共服务支出（类）其他共产党事务支出（款）其他共产党事务支出（项）:支出决算数为3.00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Times New Roman" w:hAnsi="Times New Roman"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上年受</w:t>
      </w:r>
      <w:r>
        <w:rPr>
          <w:rFonts w:hint="eastAsia" w:ascii="Times New Roman" w:hAnsi="Times New Roman" w:eastAsia="仿宋_GB2312" w:cs="Times New Roman"/>
          <w:color w:val="auto"/>
          <w:kern w:val="2"/>
          <w:sz w:val="32"/>
          <w:szCs w:val="32"/>
          <w:highlight w:val="none"/>
          <w:lang w:val="zh-CN" w:eastAsia="zh-CN" w:bidi="ar-SA"/>
        </w:rPr>
        <w:t>疫情原安排的访惠聚工作经费因</w:t>
      </w:r>
      <w:r>
        <w:rPr>
          <w:rFonts w:hint="eastAsia" w:eastAsia="仿宋_GB2312" w:cs="Times New Roman"/>
          <w:color w:val="auto"/>
          <w:kern w:val="2"/>
          <w:sz w:val="32"/>
          <w:szCs w:val="32"/>
          <w:highlight w:val="none"/>
          <w:lang w:val="en-US" w:eastAsia="zh-CN" w:bidi="ar-SA"/>
        </w:rPr>
        <w:t>未完成支付，在本年支付。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.教育支出（类）进修及培训（款）培训支出（项）:支出决算数为0.58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本年度增加了人员培训次数。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71.</w:t>
      </w:r>
      <w:r>
        <w:rPr>
          <w:rFonts w:hint="eastAsia" w:eastAsia="仿宋_GB2312" w:cs="Times New Roman"/>
          <w:color w:val="auto"/>
          <w:kern w:val="2"/>
          <w:sz w:val="32"/>
          <w:szCs w:val="32"/>
          <w:highlight w:val="none"/>
          <w:lang w:val="en-US" w:eastAsia="zh-CN" w:bidi="ar-SA"/>
        </w:rPr>
        <w:t>77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退休人员医疗缴费在</w:t>
      </w:r>
      <w:r>
        <w:rPr>
          <w:rFonts w:hint="eastAsia" w:eastAsia="仿宋_GB2312" w:cs="Times New Roman"/>
          <w:color w:val="auto"/>
          <w:kern w:val="2"/>
          <w:sz w:val="32"/>
          <w:szCs w:val="32"/>
          <w:highlight w:val="none"/>
          <w:lang w:val="en-US" w:eastAsia="zh-CN" w:bidi="ar-SA"/>
        </w:rPr>
        <w:t>本</w:t>
      </w:r>
      <w:r>
        <w:rPr>
          <w:rFonts w:hint="eastAsia" w:ascii="Times New Roman" w:hAnsi="Times New Roman" w:eastAsia="仿宋_GB2312" w:cs="Times New Roman"/>
          <w:color w:val="auto"/>
          <w:kern w:val="2"/>
          <w:sz w:val="32"/>
          <w:szCs w:val="32"/>
          <w:highlight w:val="none"/>
          <w:lang w:val="zh-CN" w:eastAsia="zh-CN" w:bidi="ar-SA"/>
        </w:rPr>
        <w:t>款项列支</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.社会保障和就业支出（类）行政事业单位养老支出（款）机关事业单位基本养老保险缴费支出（项）:支出决算数为8.77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增长669.30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人员工资基数增长、社保基数增大。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.卫生健康支出（类）行政事业单位医疗（款）行政单位医疗（项）:支出决算数为4.91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w:t>
      </w:r>
      <w:r>
        <w:rPr>
          <w:rFonts w:hint="eastAsia" w:eastAsia="仿宋_GB2312" w:cs="Times New Roman"/>
          <w:color w:val="auto"/>
          <w:kern w:val="2"/>
          <w:sz w:val="32"/>
          <w:szCs w:val="32"/>
          <w:highlight w:val="none"/>
          <w:lang w:val="en-US" w:eastAsia="zh-CN" w:bidi="ar-SA"/>
        </w:rPr>
        <w:t>71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退休人员医疗缴费在行政单位离退休款项列支</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.卫生健康支出（类）行政事业单位医疗（款）公务员医疗补助（项）:支出决算数为1.93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w:t>
      </w:r>
      <w:r>
        <w:rPr>
          <w:rFonts w:hint="eastAsia" w:eastAsia="仿宋_GB2312" w:cs="Times New Roman"/>
          <w:color w:val="auto"/>
          <w:kern w:val="2"/>
          <w:sz w:val="32"/>
          <w:szCs w:val="32"/>
          <w:highlight w:val="none"/>
          <w:lang w:val="en-US" w:eastAsia="zh-CN" w:bidi="ar-SA"/>
        </w:rPr>
        <w:t>58</w:t>
      </w:r>
      <w:r>
        <w:rPr>
          <w:rFonts w:hint="eastAsia" w:ascii="Times New Roman" w:hAnsi="Times New Roman" w:eastAsia="仿宋_GB2312" w:cs="Times New Roman"/>
          <w:color w:val="auto"/>
          <w:kern w:val="2"/>
          <w:sz w:val="32"/>
          <w:szCs w:val="32"/>
          <w:highlight w:val="none"/>
          <w:lang w:val="en-US" w:eastAsia="zh-CN" w:bidi="ar-SA"/>
        </w:rPr>
        <w:t>%，主要原因是：本年行政在职人员有调入调出，年末人数与上年没变动，因年初调出1人，年末调入1人，期间减少公务员医疗补助</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.住房保障支出（类）住房改革支出（款）住房公积金（项）:支出决算数为6.72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6.01%，主要原因是：本年</w:t>
      </w:r>
      <w:r>
        <w:rPr>
          <w:rFonts w:hint="eastAsia" w:ascii="Times New Roman" w:hAnsi="Times New Roman" w:eastAsia="仿宋_GB2312" w:cs="Times New Roman"/>
          <w:color w:val="auto"/>
          <w:kern w:val="2"/>
          <w:sz w:val="32"/>
          <w:szCs w:val="32"/>
          <w:highlight w:val="none"/>
          <w:lang w:val="zh-CN" w:eastAsia="zh-CN" w:bidi="ar-SA"/>
        </w:rPr>
        <w:t>事业单位工作人员1人离职。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104.25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95.41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8.84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办公费、印刷费、邮电费、培训费、工会经费、福利费、其他交通费用。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减少2.40万元，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年车辆无偿调拨至纪委监委。其中：因公出国（境）费支出0.00万元，占0.00%，比上年增加0.00万元，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主要原因是：我单位无因公出国（境）费；公务用车购置及运行维护费支出0.00万元，占0.00%，比上年减少2.40万元，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主要原因是：本年车辆无偿调拨至纪委监委；公务接待费支出0.00万元，占0.00%，比上年增加0.00万元，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因公出国（境）费支出0.00万元，开支内容包括本年度未安排因公出国（境）费支出，无开支内容。单位全年安排的因公出国（境）团组0个，因公出国（境）0人次。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本年度未安排公务用车运行维护费支出，无开支内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原因是：国有资产占用情况</w:t>
      </w:r>
      <w:r>
        <w:rPr>
          <w:rFonts w:hint="eastAsia" w:ascii="仿宋_GB2312" w:eastAsia="仿宋_GB2312"/>
          <w:color w:val="auto"/>
          <w:sz w:val="32"/>
          <w:szCs w:val="32"/>
          <w:highlight w:val="none"/>
          <w:lang w:val="en-US" w:eastAsia="zh-CN"/>
        </w:rPr>
        <w:t>中固定资产车辆与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公务接待费0.00万元，开支内容包括本年度未安排公务接待费支出，无开支内容。单位全年安排的国内公务接待0批次，0人次。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我单位无公务用车运行支出。</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中共库尔勒市直属机关工作委员会（行政单位和参照公务员法管理事业单位）机关运行经费支出8.84万元，</w:t>
      </w:r>
      <w:r>
        <w:rPr>
          <w:rFonts w:hint="eastAsia" w:ascii="Times New Roman" w:hAnsi="Times New Roman" w:eastAsia="仿宋_GB2312" w:cs="Times New Roman"/>
          <w:color w:val="auto"/>
          <w:sz w:val="32"/>
          <w:szCs w:val="32"/>
          <w:highlight w:val="none"/>
          <w:lang w:val="zh-CN" w:eastAsia="zh-CN"/>
        </w:rPr>
        <w:t>比上年增加4.23万元，增长91.</w:t>
      </w:r>
      <w:r>
        <w:rPr>
          <w:rFonts w:hint="eastAsia" w:eastAsia="仿宋_GB2312" w:cs="Times New Roman"/>
          <w:color w:val="auto"/>
          <w:sz w:val="32"/>
          <w:szCs w:val="32"/>
          <w:highlight w:val="none"/>
          <w:lang w:val="en-US" w:eastAsia="zh-CN"/>
        </w:rPr>
        <w:t>76</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本</w:t>
      </w:r>
      <w:r>
        <w:rPr>
          <w:rFonts w:hint="eastAsia" w:ascii="Times New Roman" w:hAnsi="Times New Roman" w:eastAsia="仿宋_GB2312" w:cs="Times New Roman"/>
          <w:color w:val="auto"/>
          <w:sz w:val="32"/>
          <w:szCs w:val="32"/>
          <w:highlight w:val="none"/>
          <w:lang w:val="zh-CN" w:eastAsia="zh-CN"/>
        </w:rPr>
        <w:t>年增加了党建工作业务费</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0.11万元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其中：政府采购货物支出0.11万元、政府采购工程支出0.00万元、政府采购服务支出0.00万元。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授予中小企业合同金额0.11万元，占政府采购支出总额的100.00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，其中：授予小微企业合同金额0.11万元，占政府采购支出总额的100.00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8.15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en-US"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预算总额104.25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实际执行总额104.25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lang w:eastAsia="zh-CN"/>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r>
        <w:rPr>
          <w:rFonts w:hint="eastAsia" w:ascii="黑体" w:hAnsi="黑体" w:eastAsia="仿宋_GB2312" w:cs="宋体"/>
          <w:bCs/>
          <w:color w:val="auto"/>
          <w:kern w:val="0"/>
          <w:sz w:val="32"/>
          <w:szCs w:val="32"/>
          <w:highlight w:val="none"/>
          <w:lang w:eastAsia="zh-CN"/>
        </w:rPr>
        <w:t>（</w:t>
      </w:r>
      <w:r>
        <w:rPr>
          <w:rFonts w:hint="eastAsia" w:ascii="黑体" w:hAnsi="黑体" w:eastAsia="仿宋_GB2312" w:cs="宋体"/>
          <w:bCs/>
          <w:color w:val="auto"/>
          <w:kern w:val="0"/>
          <w:sz w:val="32"/>
          <w:szCs w:val="32"/>
          <w:highlight w:val="none"/>
          <w:lang w:val="en-US" w:eastAsia="zh-CN"/>
        </w:rPr>
        <w:t>空表</w:t>
      </w:r>
      <w:r>
        <w:rPr>
          <w:rFonts w:hint="eastAsia" w:ascii="黑体" w:hAnsi="黑体" w:eastAsia="仿宋_GB2312" w:cs="宋体"/>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rPr>
      </w:pPr>
      <w:bookmarkStart w:id="46" w:name="_Toc5453"/>
      <w:bookmarkStart w:id="47" w:name="_Toc7643"/>
      <w:r>
        <w:rPr>
          <w:rFonts w:hint="eastAsia" w:ascii="黑体" w:hAnsi="黑体" w:eastAsia="仿宋_GB2312" w:cs="宋体"/>
          <w:bCs/>
          <w:color w:val="auto"/>
          <w:w w:val="90"/>
          <w:kern w:val="0"/>
          <w:sz w:val="32"/>
          <w:szCs w:val="32"/>
          <w:highlight w:val="none"/>
        </w:rPr>
        <w:t>八、《政府性基金预算财政拨款收入支出决算表》</w:t>
      </w:r>
      <w:bookmarkEnd w:id="46"/>
      <w:bookmarkEnd w:id="47"/>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仿宋_GB2312" w:eastAsia="仿宋_GB2312"/>
          <w:color w:val="auto"/>
          <w:w w:val="90"/>
          <w:sz w:val="32"/>
          <w:szCs w:val="32"/>
          <w:highlight w:val="none"/>
        </w:rPr>
      </w:pPr>
      <w:r>
        <w:rPr>
          <w:rFonts w:hint="eastAsia" w:ascii="黑体" w:hAnsi="黑体" w:eastAsia="仿宋_GB2312" w:cs="宋体"/>
          <w:bCs/>
          <w:color w:val="auto"/>
          <w:w w:val="90"/>
          <w:kern w:val="0"/>
          <w:sz w:val="32"/>
          <w:szCs w:val="32"/>
          <w:highlight w:val="none"/>
          <w:lang w:val="en-US" w:eastAsia="zh-CN"/>
        </w:rPr>
        <w:t>九</w:t>
      </w:r>
      <w:r>
        <w:rPr>
          <w:rFonts w:hint="eastAsia" w:ascii="黑体" w:hAnsi="黑体" w:eastAsia="仿宋_GB2312" w:cs="宋体"/>
          <w:bCs/>
          <w:color w:val="auto"/>
          <w:w w:val="90"/>
          <w:kern w:val="0"/>
          <w:sz w:val="32"/>
          <w:szCs w:val="32"/>
          <w:highlight w:val="none"/>
        </w:rPr>
        <w:t>、《</w:t>
      </w:r>
      <w:r>
        <w:rPr>
          <w:rFonts w:hint="eastAsia" w:ascii="黑体" w:hAnsi="黑体" w:eastAsia="仿宋_GB2312" w:cs="宋体"/>
          <w:bCs/>
          <w:color w:val="auto"/>
          <w:w w:val="90"/>
          <w:kern w:val="0"/>
          <w:sz w:val="32"/>
          <w:szCs w:val="32"/>
          <w:highlight w:val="none"/>
          <w:lang w:eastAsia="zh-CN"/>
        </w:rPr>
        <w:t>国有资本经营</w:t>
      </w:r>
      <w:r>
        <w:rPr>
          <w:rFonts w:hint="eastAsia" w:ascii="黑体" w:hAnsi="黑体" w:eastAsia="仿宋_GB2312" w:cs="宋体"/>
          <w:bCs/>
          <w:color w:val="auto"/>
          <w:w w:val="90"/>
          <w:kern w:val="0"/>
          <w:sz w:val="32"/>
          <w:szCs w:val="32"/>
          <w:highlight w:val="none"/>
        </w:rPr>
        <w:t>预算财政拨款收入支出决算表》</w:t>
      </w:r>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59264" behindDoc="0" locked="0" layoutInCell="1" allowOverlap="1">
            <wp:simplePos x="0" y="0"/>
            <wp:positionH relativeFrom="column">
              <wp:posOffset>-485775</wp:posOffset>
            </wp:positionH>
            <wp:positionV relativeFrom="paragraph">
              <wp:posOffset>0</wp:posOffset>
            </wp:positionV>
            <wp:extent cx="6195060" cy="8453120"/>
            <wp:effectExtent l="0" t="0" r="15240" b="508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95060" cy="84531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0288" behindDoc="0" locked="0" layoutInCell="1" allowOverlap="1">
            <wp:simplePos x="0" y="0"/>
            <wp:positionH relativeFrom="column">
              <wp:posOffset>-552450</wp:posOffset>
            </wp:positionH>
            <wp:positionV relativeFrom="paragraph">
              <wp:posOffset>36195</wp:posOffset>
            </wp:positionV>
            <wp:extent cx="6387465" cy="8251825"/>
            <wp:effectExtent l="0" t="0" r="13335" b="15875"/>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387465" cy="8251825"/>
                    </a:xfrm>
                    <a:prstGeom prst="rect">
                      <a:avLst/>
                    </a:prstGeom>
                    <a:noFill/>
                    <a:ln>
                      <a:noFill/>
                    </a:ln>
                  </pic:spPr>
                </pic:pic>
              </a:graphicData>
            </a:graphic>
          </wp:anchor>
        </w:drawing>
      </w:r>
    </w:p>
    <w:p>
      <w:pPr>
        <w:bidi w:val="0"/>
        <w:rPr>
          <w:rFonts w:hint="eastAsia" w:ascii="Times New Roman" w:hAnsi="Times New Roman" w:eastAsia="宋体" w:cs="Times New Roman"/>
          <w:kern w:val="2"/>
          <w:sz w:val="21"/>
          <w:szCs w:val="24"/>
          <w:lang w:val="en-US" w:eastAsia="zh-CN" w:bidi="ar-SA"/>
        </w:rPr>
      </w:pPr>
      <w:r>
        <w:drawing>
          <wp:anchor distT="0" distB="0" distL="114300" distR="114300" simplePos="0" relativeHeight="251661312" behindDoc="0" locked="0" layoutInCell="1" allowOverlap="1">
            <wp:simplePos x="0" y="0"/>
            <wp:positionH relativeFrom="column">
              <wp:posOffset>-495300</wp:posOffset>
            </wp:positionH>
            <wp:positionV relativeFrom="paragraph">
              <wp:posOffset>0</wp:posOffset>
            </wp:positionV>
            <wp:extent cx="6372860" cy="8399780"/>
            <wp:effectExtent l="0" t="0" r="8890" b="127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6372860" cy="8399780"/>
                    </a:xfrm>
                    <a:prstGeom prst="rect">
                      <a:avLst/>
                    </a:prstGeom>
                    <a:noFill/>
                    <a:ln>
                      <a:noFill/>
                    </a:ln>
                  </pic:spPr>
                </pic:pic>
              </a:graphicData>
            </a:graphic>
          </wp:anchor>
        </w:drawing>
      </w:r>
    </w:p>
    <w:p>
      <w:pPr>
        <w:bidi w:val="0"/>
        <w:rPr>
          <w:rFonts w:hint="eastAsia"/>
          <w:lang w:val="en-US" w:eastAsia="zh-CN"/>
        </w:rPr>
      </w:pPr>
    </w:p>
    <w:p>
      <w:pPr>
        <w:bidi w:val="0"/>
        <w:rPr>
          <w:rFonts w:hint="eastAsia"/>
          <w:lang w:val="en-US" w:eastAsia="zh-CN"/>
        </w:rPr>
      </w:pPr>
      <w:r>
        <w:drawing>
          <wp:anchor distT="0" distB="0" distL="114300" distR="114300" simplePos="0" relativeHeight="251662336" behindDoc="0" locked="0" layoutInCell="1" allowOverlap="1">
            <wp:simplePos x="0" y="0"/>
            <wp:positionH relativeFrom="column">
              <wp:posOffset>-523875</wp:posOffset>
            </wp:positionH>
            <wp:positionV relativeFrom="paragraph">
              <wp:posOffset>-49530</wp:posOffset>
            </wp:positionV>
            <wp:extent cx="6358255" cy="8629015"/>
            <wp:effectExtent l="0" t="0" r="4445" b="635"/>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6358255" cy="8629015"/>
                    </a:xfrm>
                    <a:prstGeom prst="rect">
                      <a:avLst/>
                    </a:prstGeom>
                    <a:noFill/>
                    <a:ln>
                      <a:noFill/>
                    </a:ln>
                  </pic:spPr>
                </pic:pic>
              </a:graphicData>
            </a:graphic>
          </wp:anchor>
        </w:drawing>
      </w:r>
    </w:p>
    <w:p>
      <w:pPr>
        <w:bidi w:val="0"/>
        <w:rPr>
          <w:rFonts w:hint="eastAsia"/>
          <w:lang w:val="en-US" w:eastAsia="zh-CN"/>
        </w:rPr>
      </w:pPr>
      <w:r>
        <w:drawing>
          <wp:anchor distT="0" distB="0" distL="114300" distR="114300" simplePos="0" relativeHeight="251663360" behindDoc="0" locked="0" layoutInCell="1" allowOverlap="1">
            <wp:simplePos x="0" y="0"/>
            <wp:positionH relativeFrom="column">
              <wp:posOffset>-485775</wp:posOffset>
            </wp:positionH>
            <wp:positionV relativeFrom="paragraph">
              <wp:posOffset>186690</wp:posOffset>
            </wp:positionV>
            <wp:extent cx="6400800" cy="8245475"/>
            <wp:effectExtent l="0" t="0" r="0" b="3175"/>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6400800" cy="8245475"/>
                    </a:xfrm>
                    <a:prstGeom prst="rect">
                      <a:avLst/>
                    </a:prstGeom>
                    <a:noFill/>
                    <a:ln>
                      <a:noFill/>
                    </a:ln>
                  </pic:spPr>
                </pic:pic>
              </a:graphicData>
            </a:graphic>
          </wp:anchor>
        </w:drawing>
      </w:r>
    </w:p>
    <w:p>
      <w:pPr>
        <w:bidi w:val="0"/>
        <w:rPr>
          <w:rFonts w:hint="eastAsia"/>
          <w:lang w:val="en-US" w:eastAsia="zh-CN"/>
        </w:rPr>
      </w:pPr>
    </w:p>
    <w:p>
      <w:pPr>
        <w:bidi w:val="0"/>
        <w:rPr>
          <w:rFonts w:hint="eastAsia"/>
          <w:lang w:val="en-US" w:eastAsia="zh-CN"/>
        </w:rPr>
        <w:sectPr>
          <w:pgSz w:w="11906" w:h="16838"/>
          <w:pgMar w:top="1440" w:right="1800" w:bottom="1440" w:left="1800" w:header="851" w:footer="992" w:gutter="0"/>
          <w:cols w:space="720" w:num="1"/>
          <w:docGrid w:type="lines" w:linePitch="312" w:charSpace="0"/>
        </w:sectPr>
      </w:pPr>
    </w:p>
    <w:p>
      <w:pPr>
        <w:bidi w:val="0"/>
        <w:rPr>
          <w:rFonts w:hint="eastAsia"/>
          <w:lang w:val="en-US" w:eastAsia="zh-CN"/>
        </w:rPr>
        <w:sectPr>
          <w:pgSz w:w="11906" w:h="16838"/>
          <w:pgMar w:top="1440" w:right="1800" w:bottom="1440" w:left="1800" w:header="851" w:footer="992" w:gutter="0"/>
          <w:cols w:space="720" w:num="1"/>
          <w:docGrid w:type="lines" w:linePitch="312" w:charSpace="0"/>
        </w:sectPr>
      </w:pPr>
      <w:r>
        <w:drawing>
          <wp:anchor distT="0" distB="0" distL="114300" distR="114300" simplePos="0" relativeHeight="251667456" behindDoc="0" locked="0" layoutInCell="1" allowOverlap="1">
            <wp:simplePos x="0" y="0"/>
            <wp:positionH relativeFrom="column">
              <wp:posOffset>-537210</wp:posOffset>
            </wp:positionH>
            <wp:positionV relativeFrom="paragraph">
              <wp:posOffset>499110</wp:posOffset>
            </wp:positionV>
            <wp:extent cx="6594475" cy="7632065"/>
            <wp:effectExtent l="0" t="0" r="15875" b="6985"/>
            <wp:wrapSquare wrapText="bothSides"/>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0"/>
                    <a:stretch>
                      <a:fillRect/>
                    </a:stretch>
                  </pic:blipFill>
                  <pic:spPr>
                    <a:xfrm>
                      <a:off x="0" y="0"/>
                      <a:ext cx="6594475" cy="7632065"/>
                    </a:xfrm>
                    <a:prstGeom prst="rect">
                      <a:avLst/>
                    </a:prstGeom>
                    <a:noFill/>
                    <a:ln>
                      <a:noFill/>
                    </a:ln>
                  </pic:spPr>
                </pic:pic>
              </a:graphicData>
            </a:graphic>
          </wp:anchor>
        </w:drawing>
      </w:r>
    </w:p>
    <w:p>
      <w:pPr>
        <w:bidi w:val="0"/>
        <w:rPr>
          <w:rFonts w:hint="eastAsia"/>
          <w:lang w:val="en-US" w:eastAsia="zh-CN"/>
        </w:rPr>
      </w:pPr>
    </w:p>
    <w:p>
      <w:pPr>
        <w:bidi w:val="0"/>
        <w:rPr>
          <w:rFonts w:hint="eastAsia"/>
          <w:lang w:val="en-US" w:eastAsia="zh-CN"/>
        </w:rPr>
      </w:pPr>
      <w:r>
        <w:drawing>
          <wp:anchor distT="0" distB="0" distL="114300" distR="114300" simplePos="0" relativeHeight="251664384" behindDoc="0" locked="0" layoutInCell="1" allowOverlap="1">
            <wp:simplePos x="0" y="0"/>
            <wp:positionH relativeFrom="column">
              <wp:posOffset>-476250</wp:posOffset>
            </wp:positionH>
            <wp:positionV relativeFrom="paragraph">
              <wp:posOffset>106680</wp:posOffset>
            </wp:positionV>
            <wp:extent cx="6471285" cy="4191000"/>
            <wp:effectExtent l="0" t="0" r="5715" b="0"/>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6471285" cy="4191000"/>
                    </a:xfrm>
                    <a:prstGeom prst="rect">
                      <a:avLst/>
                    </a:prstGeom>
                    <a:noFill/>
                    <a:ln>
                      <a:noFill/>
                    </a:ln>
                  </pic:spPr>
                </pic:pic>
              </a:graphicData>
            </a:graphic>
          </wp:anchor>
        </w:drawing>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r>
        <w:drawing>
          <wp:anchor distT="0" distB="0" distL="114300" distR="114300" simplePos="0" relativeHeight="251665408" behindDoc="0" locked="0" layoutInCell="1" allowOverlap="1">
            <wp:simplePos x="0" y="0"/>
            <wp:positionH relativeFrom="column">
              <wp:posOffset>-361950</wp:posOffset>
            </wp:positionH>
            <wp:positionV relativeFrom="paragraph">
              <wp:posOffset>28575</wp:posOffset>
            </wp:positionV>
            <wp:extent cx="6209665" cy="3272155"/>
            <wp:effectExtent l="0" t="0" r="635" b="4445"/>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6209665" cy="3272155"/>
                    </a:xfrm>
                    <a:prstGeom prst="rect">
                      <a:avLst/>
                    </a:prstGeom>
                    <a:noFill/>
                    <a:ln>
                      <a:noFill/>
                    </a:ln>
                  </pic:spPr>
                </pic:pic>
              </a:graphicData>
            </a:graphic>
          </wp:anchor>
        </w:drawing>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p>
    <w:p>
      <w:pPr>
        <w:bidi w:val="0"/>
        <w:ind w:firstLine="531" w:firstLineChars="0"/>
        <w:jc w:val="left"/>
        <w:rPr>
          <w:rFonts w:hint="eastAsia"/>
          <w:lang w:val="en-US" w:eastAsia="zh-CN"/>
        </w:rPr>
      </w:pPr>
      <w:r>
        <w:drawing>
          <wp:anchor distT="0" distB="0" distL="114300" distR="114300" simplePos="0" relativeHeight="251666432" behindDoc="0" locked="0" layoutInCell="1" allowOverlap="1">
            <wp:simplePos x="0" y="0"/>
            <wp:positionH relativeFrom="column">
              <wp:posOffset>-481965</wp:posOffset>
            </wp:positionH>
            <wp:positionV relativeFrom="paragraph">
              <wp:posOffset>112395</wp:posOffset>
            </wp:positionV>
            <wp:extent cx="6189345" cy="3791585"/>
            <wp:effectExtent l="0" t="0" r="1905" b="18415"/>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6189345" cy="3791585"/>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3554C"/>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79B0D34"/>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D272B9"/>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6F91BC5"/>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3A70B5"/>
    <w:rsid w:val="3389023A"/>
    <w:rsid w:val="33CB74FA"/>
    <w:rsid w:val="343642F2"/>
    <w:rsid w:val="343F3010"/>
    <w:rsid w:val="345D0A00"/>
    <w:rsid w:val="34713BFD"/>
    <w:rsid w:val="34C13589"/>
    <w:rsid w:val="353369E3"/>
    <w:rsid w:val="35B21E0B"/>
    <w:rsid w:val="35E00D72"/>
    <w:rsid w:val="36965B9D"/>
    <w:rsid w:val="36C549FD"/>
    <w:rsid w:val="37A755DD"/>
    <w:rsid w:val="37D86F58"/>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6C2D8D"/>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33218D"/>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6FC02B9"/>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311C6"/>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4D6F11"/>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A352B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74</TotalTime>
  <ScaleCrop>false</ScaleCrop>
  <LinksUpToDate>false</LinksUpToDate>
  <CharactersWithSpaces>20832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2024-12-27T12:59:27Z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