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库尔勒市融媒体中心</w:t>
      </w:r>
      <w:r>
        <w:rPr>
          <w:rFonts w:hint="eastAsia" w:ascii="方正小标宋_GBK" w:hAnsi="宋体" w:eastAsia="方正小标宋_GBK"/>
          <w:color w:val="auto"/>
          <w:sz w:val="44"/>
          <w:szCs w:val="44"/>
          <w:highlight w:val="none"/>
          <w:lang w:eastAsia="zh-CN"/>
        </w:rPr>
        <w:t>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部门决算公开说明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坚持党管意识形态、党管宣传、党管媒体，负责落实中央、自治区、自治州及市党委关于宣传思想文化工作的方针政策和决策部署，把握正确的舆论导向，提高新闻舆论传播力、引导力、影响力，巩固壮大主流思想舆论，不断提高媒体宣传质量，发挥好党和政府联系人民群众的桥梁、纽带作用，引导群众、服务群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（2）负责全市广播、电视、政府网站、手机 APP、微信公众平台、微博、抖音、今日头条等媒体平台的规划、建设、发展和管理工作，发布权威信息，关注民生民情，加强舆论引导，做好推广运营。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（3）负责打造“媒体+政务+服务”于一体的融媒体平台，为群众提供信息服务、政务服务和便民服务。负责全媒体的舆论宣传策划、采集、编辑、发布、播出及收集、归类、保存等工作。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（4）负责转播中央、区、州广播电视节目与网络视听节目，开办具有库尔勒特色的广播、电视和互联网视听节目，拍摄制作宣传库尔勒的视听节目。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（5）负责协助上级媒体单位采访，维护全市新闻舆论安全，做好对外宣传工作，展示我市良好城市形象。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（6）负责建设融媒体队伍，探索舆论宣传、媒体资产管理新机制，发展壮大全市传媒事业，提升舆论宣传引导力和服务性；负责融媒体各平台广告业务的经营、审核和播发。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（7）负责完成市委、市人民政府交办的其他任务。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库尔勒市融媒体中心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单位无下属预算单位，下设 5 个处室，分别是：综合办公室、新闻信息采集中心、编发部、总编策划部、技术中心。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1,337.67万元，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1,337.67万元，使用非财政拨款结余0.00万元，年初结转和结余0.00万元。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1,337.67万元，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1,337.67万元，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增加102.07万元</w:t>
      </w:r>
      <w:r>
        <w:rPr>
          <w:rFonts w:hint="eastAsia" w:ascii="仿宋_GB2312" w:eastAsia="仿宋_GB2312"/>
          <w:color w:val="auto"/>
          <w:spacing w:val="0"/>
          <w:sz w:val="32"/>
          <w:szCs w:val="32"/>
          <w:highlight w:val="none"/>
          <w:lang w:eastAsia="zh-CN"/>
        </w:rPr>
        <w:t>，增长8.26%，主要原因是：人员调资、发放2020年下半年绩效奖及2022年、2023年基础绩效奖金。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1,337.67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1,337.67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本年支出1,337.67万元，其中：基本支出718.09万元，占53.68%；项目支出619.57万元，占46.32%；上缴上级支出0.00万元，占0.00%；经营支出0.00万元，占0.00%；对附属单位补助支出0.00万元，占0.00%。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1,337.67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1,337.67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1,337.67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1,337.67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增加102.07万元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增长8.26%,</w:t>
      </w:r>
      <w:r>
        <w:rPr>
          <w:rFonts w:hint="eastAsia" w:ascii="仿宋_GB2312" w:eastAsia="仿宋_GB2312"/>
          <w:color w:val="auto"/>
          <w:spacing w:val="0"/>
          <w:sz w:val="32"/>
          <w:szCs w:val="32"/>
          <w:highlight w:val="none"/>
          <w:lang w:eastAsia="zh-CN"/>
        </w:rPr>
        <w:t>主要原因是：人员调资、发放2020年下半年绩效奖及2022年、2023年基础绩效奖金。与年初预算相比，年初预算数</w:t>
      </w:r>
      <w:r>
        <w:rPr>
          <w:rFonts w:hint="eastAsia" w:ascii="仿宋_GB2312" w:eastAsia="仿宋_GB2312"/>
          <w:color w:val="auto"/>
          <w:spacing w:val="0"/>
          <w:sz w:val="32"/>
          <w:szCs w:val="32"/>
          <w:highlight w:val="none"/>
          <w:lang w:val="zh-CN" w:eastAsia="zh-CN"/>
        </w:rPr>
        <w:t>1,658.65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1,337.67</w:t>
      </w:r>
      <w:r>
        <w:rPr>
          <w:rFonts w:hint="eastAsia" w:ascii="仿宋_GB2312" w:eastAsia="仿宋_GB2312"/>
          <w:color w:val="auto"/>
          <w:spacing w:val="0"/>
          <w:sz w:val="32"/>
          <w:szCs w:val="32"/>
          <w:highlight w:val="none"/>
          <w:lang w:eastAsia="zh-CN"/>
        </w:rPr>
        <w:t>万元，预决算差异率-19.35%，主要原因是：厉行节约，精简其他各项办公支出。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2023年度一般公共预算财政拨款支出726.25万元，占本年支出合计的</w:t>
      </w:r>
      <w:r>
        <w:rPr>
          <w:rFonts w:hint="eastAsia" w:ascii="仿宋_GB2312" w:eastAsia="仿宋_GB2312"/>
          <w:color w:val="auto"/>
          <w:spacing w:val="0"/>
          <w:sz w:val="32"/>
          <w:szCs w:val="32"/>
          <w:highlight w:val="none"/>
          <w:lang w:val="zh-CN" w:eastAsia="zh-CN"/>
        </w:rPr>
        <w:t>54.29%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减少509.35万元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下降41.22%,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上年根据工程进度，以偿还部分工程款，导致本年财政拨款减少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1,043.23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726.25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-30.38%</w:t>
      </w:r>
      <w:r>
        <w:rPr>
          <w:rFonts w:hint="eastAsia" w:ascii="仿宋_GB2312" w:eastAsia="仿宋_GB2312"/>
          <w:color w:val="auto"/>
          <w:spacing w:val="0"/>
          <w:sz w:val="32"/>
          <w:szCs w:val="32"/>
          <w:highlight w:val="none"/>
          <w:lang w:eastAsia="zh-CN"/>
        </w:rPr>
        <w:t>，主要原因是：厉行节约，精简其他各项办公支出。</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726.25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1.文化旅游体育与传媒支出（类）广播电视（款）广播电视事务（项）:支出决算数为726.25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135.34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22.90%，主要原因是：</w:t>
      </w:r>
      <w:r>
        <w:rPr>
          <w:rFonts w:hint="eastAsia" w:ascii="Times New Roman" w:hAnsi="Times New Roman" w:eastAsia="仿宋_GB2312" w:cs="Times New Roman"/>
          <w:color w:val="auto"/>
          <w:kern w:val="2"/>
          <w:sz w:val="32"/>
          <w:szCs w:val="32"/>
          <w:highlight w:val="none"/>
          <w:lang w:val="zh-CN" w:eastAsia="zh-CN" w:bidi="ar-SA"/>
        </w:rPr>
        <w:t>人员调资、发放2020年下半年绩效奖及2022年、2023年基础绩效奖金。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2.文化旅游体育与传媒支出（类）其他文化旅游体育与传媒支出（款）其他文化旅游体育与传媒支出（项）:支出决算数为0.00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644.69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上年</w:t>
      </w:r>
      <w:r>
        <w:rPr>
          <w:rFonts w:hint="eastAsia" w:ascii="Times New Roman" w:hAnsi="Times New Roman" w:eastAsia="仿宋_GB2312" w:cs="Times New Roman"/>
          <w:color w:val="auto"/>
          <w:kern w:val="2"/>
          <w:sz w:val="32"/>
          <w:szCs w:val="32"/>
          <w:highlight w:val="none"/>
          <w:lang w:val="zh-CN" w:eastAsia="zh-CN" w:bidi="ar-SA"/>
        </w:rPr>
        <w:t>新增基建项目费、</w:t>
      </w:r>
      <w:r>
        <w:rPr>
          <w:rFonts w:hint="eastAsia" w:eastAsia="仿宋_GB2312" w:cs="Times New Roman"/>
          <w:color w:val="auto"/>
          <w:kern w:val="2"/>
          <w:sz w:val="32"/>
          <w:szCs w:val="32"/>
          <w:highlight w:val="none"/>
          <w:lang w:val="en-US" w:eastAsia="zh-CN" w:bidi="ar-SA"/>
        </w:rPr>
        <w:t>本年未安排</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718.09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584.50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基本工资、津贴补贴、奖金、机关事业单位基本养老保险缴费、职工基本医疗保险缴费、其他社会保障缴费、住房公积金、其他工资福利支出。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133.59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办公费、水费、电费、邮电费、差旅费、维修（护）费、培训费、劳务费、工会经费、公务用车运行维护费、其他交通费用。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“三公”经费支出1.76万元，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主要原因是：严格控制三公经费，厉行节约。其中：因公出国（境）费支出0.00万元，占0.00%，比上年增加0.00万元，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主要原因是：我单位无因公出国（境）费；公务用车购置及运行维护费支出1.76万元，占100.00%，比上年增加0.00万元，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主要原因是：严格控制三公经费，厉行节约；公务接待费支出0.00万元，占0.00%，比上年增加0.00万元，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1.76万元，其中：公务用车购置费0.00万元，公务用车运行维护费1.76万元。公务用车运行维护费开支内容包括车辆保险、燃油费、维修费等。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w:t>
      </w:r>
      <w:r>
        <w:rPr>
          <w:rFonts w:hint="eastAsia" w:ascii="仿宋_GB2312" w:eastAsia="仿宋_GB2312"/>
          <w:color w:val="auto"/>
          <w:sz w:val="32"/>
          <w:szCs w:val="32"/>
          <w:highlight w:val="none"/>
          <w:lang w:val="en-US" w:eastAsia="zh-CN"/>
        </w:rPr>
        <w:t>中固定资产车辆与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预算数1.76万元，决算数1.76万元，预决算差异率0.00%，主要原因是：严格控制三公经费，厉行节约。其中：因公出国（境）费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预算数1.76万元，决算数1.76万元，预决算差异率0.00%，主要原因是：严格控制三公经费，厉行节约；公务接待费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总计611.42</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本年收入611.42</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总计611.42</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本年支出611.42</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与上年相比，增加611.42万元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rPr>
        <w:t>增长100.00%</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en-US" w:eastAsia="zh-CN"/>
        </w:rPr>
        <w:t>今年新增隐性债务工程款</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615.42</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611.42</w:t>
      </w:r>
      <w:r>
        <w:rPr>
          <w:rFonts w:hint="eastAsia" w:ascii="Times New Roman" w:hAnsi="Times New Roman" w:eastAsia="仿宋_GB2312" w:cs="Times New Roman"/>
          <w:color w:val="auto"/>
          <w:sz w:val="32"/>
          <w:szCs w:val="32"/>
          <w:highlight w:val="none"/>
          <w:lang w:val="zh-CN"/>
        </w:rPr>
        <w:t>万元，预决算差异率-0.65%</w:t>
      </w:r>
      <w:r>
        <w:rPr>
          <w:rFonts w:hint="eastAsia" w:ascii="Times New Roman" w:hAnsi="Times New Roman" w:eastAsia="仿宋_GB2312" w:cs="Times New Roman"/>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年中预算数调减-</w:t>
      </w:r>
      <w:r>
        <w:rPr>
          <w:rFonts w:hint="eastAsia" w:ascii="仿宋_GB2312" w:eastAsia="仿宋_GB2312"/>
          <w:color w:val="auto"/>
          <w:spacing w:val="0"/>
          <w:sz w:val="32"/>
          <w:szCs w:val="32"/>
          <w:highlight w:val="none"/>
          <w:lang w:val="en-US" w:eastAsia="zh-CN"/>
        </w:rPr>
        <w:t>4</w:t>
      </w:r>
      <w:r>
        <w:rPr>
          <w:rFonts w:hint="eastAsia" w:ascii="仿宋_GB2312" w:eastAsia="仿宋_GB2312"/>
          <w:color w:val="auto"/>
          <w:spacing w:val="0"/>
          <w:sz w:val="32"/>
          <w:szCs w:val="32"/>
          <w:highlight w:val="none"/>
          <w:lang w:eastAsia="zh-CN"/>
        </w:rPr>
        <w:t>万元，调整后全年预算数</w:t>
      </w:r>
      <w:r>
        <w:rPr>
          <w:rFonts w:hint="eastAsia" w:ascii="仿宋_GB2312" w:eastAsia="仿宋_GB2312"/>
          <w:color w:val="auto"/>
          <w:spacing w:val="0"/>
          <w:sz w:val="32"/>
          <w:szCs w:val="32"/>
          <w:highlight w:val="none"/>
          <w:lang w:val="en-US" w:eastAsia="zh-CN"/>
        </w:rPr>
        <w:t>611.42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决算数相应减少4万元</w:t>
      </w:r>
      <w:r>
        <w:rPr>
          <w:rFonts w:hint="eastAsia" w:ascii="Times New Roman" w:hAnsi="Times New Roman" w:eastAsia="仿宋_GB2312" w:cs="Times New Roman"/>
          <w:color w:val="auto"/>
          <w:sz w:val="32"/>
          <w:szCs w:val="32"/>
          <w:highlight w:val="none"/>
          <w:lang w:val="zh-CN"/>
        </w:rPr>
        <w:t>。</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611.42</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1.城乡社区支出（类）国有土地使用权出让收入安排的支出（款）其他国有土地使用权出让收入安排的支出（项）:支出决算数为611.42</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611.42</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今年新增隐性债务工程款</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库尔勒市融媒体中心（事业单位）公用经费支出133.59万元，</w:t>
      </w:r>
      <w:r>
        <w:rPr>
          <w:rFonts w:hint="eastAsia" w:ascii="Times New Roman" w:hAnsi="Times New Roman" w:eastAsia="仿宋_GB2312" w:cs="Times New Roman"/>
          <w:color w:val="auto"/>
          <w:sz w:val="32"/>
          <w:szCs w:val="32"/>
          <w:highlight w:val="none"/>
          <w:lang w:val="zh-CN" w:eastAsia="zh-CN"/>
        </w:rPr>
        <w:t>比上年减少88.69万元，下降39.90%，主要原因是：</w:t>
      </w:r>
      <w:r>
        <w:rPr>
          <w:rFonts w:hint="eastAsia" w:ascii="Times New Roman" w:hAnsi="Times New Roman" w:eastAsia="仿宋_GB2312" w:cs="Times New Roman"/>
          <w:color w:val="auto"/>
          <w:sz w:val="32"/>
          <w:szCs w:val="32"/>
          <w:highlight w:val="none"/>
          <w:lang w:val="en-US" w:eastAsia="zh-CN"/>
        </w:rPr>
        <w:t>本年广告宣传和其他</w:t>
      </w:r>
      <w:r>
        <w:rPr>
          <w:rFonts w:hint="eastAsia" w:eastAsia="仿宋_GB2312" w:cs="Times New Roman"/>
          <w:color w:val="auto"/>
          <w:sz w:val="32"/>
          <w:szCs w:val="32"/>
          <w:highlight w:val="none"/>
          <w:lang w:val="en-US" w:eastAsia="zh-CN"/>
        </w:rPr>
        <w:t>业务活动</w:t>
      </w:r>
      <w:r>
        <w:rPr>
          <w:rFonts w:hint="eastAsia" w:ascii="Times New Roman" w:hAnsi="Times New Roman" w:eastAsia="仿宋_GB2312" w:cs="Times New Roman"/>
          <w:color w:val="auto"/>
          <w:sz w:val="32"/>
          <w:szCs w:val="32"/>
          <w:highlight w:val="none"/>
          <w:lang w:val="en-US" w:eastAsia="zh-CN"/>
        </w:rPr>
        <w:t>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4.71万元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其中：政府采购货物支出0.16万元、政府采购工程支出0.00万元、政府采购服务支出4.55万元。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授予中小企业合同金额4.71万元，占政府采购支出总额的100.00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，其中：授予小微企业合同金额0.65万元，占政府采购支出总额的</w:t>
      </w:r>
      <w:r>
        <w:rPr>
          <w:rFonts w:hint="eastAsia" w:eastAsia="仿宋_GB2312" w:cs="Times New Roman"/>
          <w:color w:val="auto"/>
          <w:sz w:val="32"/>
          <w:szCs w:val="32"/>
          <w:highlight w:val="none"/>
          <w:lang w:val="en-US" w:eastAsia="zh-CN"/>
        </w:rPr>
        <w:t>13.80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3,783.73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屋0.00平方米，价值0.00万元。车辆1辆，价值8.96万元，其中：副部（省）级及以上领导用车0辆、主要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en-US" w:eastAsia="zh-CN"/>
        </w:rPr>
        <w:t>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预算总额1337.66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实际执行总额1337.66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全年预算数80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全年执行数79.38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r>
        <w:rPr>
          <w:rFonts w:hint="eastAsia" w:ascii="黑体" w:hAnsi="黑体" w:eastAsia="仿宋_GB2312" w:cs="宋体"/>
          <w:bCs/>
          <w:color w:val="auto"/>
          <w:w w:val="90"/>
          <w:kern w:val="0"/>
          <w:sz w:val="32"/>
          <w:szCs w:val="32"/>
          <w:highlight w:val="none"/>
          <w:lang w:val="en-US" w:eastAsia="zh-CN"/>
        </w:rPr>
        <w:t>九</w:t>
      </w:r>
      <w:r>
        <w:rPr>
          <w:rFonts w:hint="eastAsia" w:ascii="黑体" w:hAnsi="黑体" w:eastAsia="仿宋_GB2312" w:cs="宋体"/>
          <w:bCs/>
          <w:color w:val="auto"/>
          <w:w w:val="90"/>
          <w:kern w:val="0"/>
          <w:sz w:val="32"/>
          <w:szCs w:val="32"/>
          <w:highlight w:val="none"/>
        </w:rPr>
        <w:t>、《</w:t>
      </w:r>
      <w:r>
        <w:rPr>
          <w:rFonts w:hint="eastAsia" w:ascii="黑体" w:hAnsi="黑体" w:eastAsia="仿宋_GB2312" w:cs="宋体"/>
          <w:bCs/>
          <w:color w:val="auto"/>
          <w:w w:val="90"/>
          <w:kern w:val="0"/>
          <w:sz w:val="32"/>
          <w:szCs w:val="32"/>
          <w:highlight w:val="none"/>
          <w:lang w:eastAsia="zh-CN"/>
        </w:rPr>
        <w:t>国有资本经营</w:t>
      </w:r>
      <w:r>
        <w:rPr>
          <w:rFonts w:hint="eastAsia" w:ascii="黑体" w:hAnsi="黑体" w:eastAsia="仿宋_GB2312" w:cs="宋体"/>
          <w:bCs/>
          <w:color w:val="auto"/>
          <w:w w:val="90"/>
          <w:kern w:val="0"/>
          <w:sz w:val="32"/>
          <w:szCs w:val="32"/>
          <w:highlight w:val="none"/>
        </w:rPr>
        <w:t>预算财政拨款收入支出决算表》</w:t>
      </w:r>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-495300</wp:posOffset>
            </wp:positionH>
            <wp:positionV relativeFrom="paragraph">
              <wp:posOffset>-5715</wp:posOffset>
            </wp:positionV>
            <wp:extent cx="6438900" cy="8677275"/>
            <wp:effectExtent l="0" t="0" r="0" b="952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438900" cy="86772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1312" behindDoc="0" locked="0" layoutInCell="1" allowOverlap="1">
            <wp:simplePos x="0" y="0"/>
            <wp:positionH relativeFrom="column">
              <wp:posOffset>-495300</wp:posOffset>
            </wp:positionH>
            <wp:positionV relativeFrom="paragraph">
              <wp:posOffset>13335</wp:posOffset>
            </wp:positionV>
            <wp:extent cx="6414770" cy="3444875"/>
            <wp:effectExtent l="0" t="0" r="5080" b="3175"/>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414770" cy="34448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2336" behindDoc="0" locked="0" layoutInCell="1" allowOverlap="1">
            <wp:simplePos x="0" y="0"/>
            <wp:positionH relativeFrom="column">
              <wp:posOffset>-600075</wp:posOffset>
            </wp:positionH>
            <wp:positionV relativeFrom="paragraph">
              <wp:posOffset>36195</wp:posOffset>
            </wp:positionV>
            <wp:extent cx="6592570" cy="4574540"/>
            <wp:effectExtent l="0" t="0" r="17780" b="1651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6592570" cy="457454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3360" behindDoc="0" locked="0" layoutInCell="1" allowOverlap="1">
            <wp:simplePos x="0" y="0"/>
            <wp:positionH relativeFrom="column">
              <wp:posOffset>-619125</wp:posOffset>
            </wp:positionH>
            <wp:positionV relativeFrom="paragraph">
              <wp:posOffset>1905</wp:posOffset>
            </wp:positionV>
            <wp:extent cx="6482080" cy="8611235"/>
            <wp:effectExtent l="0" t="0" r="13970" b="18415"/>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6482080" cy="861123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4384" behindDoc="0" locked="0" layoutInCell="1" allowOverlap="1">
            <wp:simplePos x="0" y="0"/>
            <wp:positionH relativeFrom="column">
              <wp:posOffset>-419100</wp:posOffset>
            </wp:positionH>
            <wp:positionV relativeFrom="paragraph">
              <wp:posOffset>133350</wp:posOffset>
            </wp:positionV>
            <wp:extent cx="6292215" cy="4369435"/>
            <wp:effectExtent l="0" t="0" r="13335" b="12065"/>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6292215" cy="436943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8480" behindDoc="0" locked="0" layoutInCell="1" allowOverlap="1">
            <wp:simplePos x="0" y="0"/>
            <wp:positionH relativeFrom="column">
              <wp:posOffset>-326390</wp:posOffset>
            </wp:positionH>
            <wp:positionV relativeFrom="paragraph">
              <wp:posOffset>452120</wp:posOffset>
            </wp:positionV>
            <wp:extent cx="6057265" cy="7688580"/>
            <wp:effectExtent l="0" t="0" r="635" b="7620"/>
            <wp:wrapSquare wrapText="bothSides"/>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stretch>
                      <a:fillRect/>
                    </a:stretch>
                  </pic:blipFill>
                  <pic:spPr>
                    <a:xfrm>
                      <a:off x="0" y="0"/>
                      <a:ext cx="6057265" cy="76885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5408" behindDoc="0" locked="0" layoutInCell="1" allowOverlap="1">
            <wp:simplePos x="0" y="0"/>
            <wp:positionH relativeFrom="column">
              <wp:posOffset>-619125</wp:posOffset>
            </wp:positionH>
            <wp:positionV relativeFrom="paragraph">
              <wp:posOffset>57150</wp:posOffset>
            </wp:positionV>
            <wp:extent cx="6510020" cy="3416935"/>
            <wp:effectExtent l="0" t="0" r="5080" b="12065"/>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6510020" cy="341693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r>
        <w:drawing>
          <wp:anchor distT="0" distB="0" distL="114300" distR="114300" simplePos="0" relativeHeight="251666432" behindDoc="0" locked="0" layoutInCell="1" allowOverlap="1">
            <wp:simplePos x="0" y="0"/>
            <wp:positionH relativeFrom="column">
              <wp:posOffset>-586740</wp:posOffset>
            </wp:positionH>
            <wp:positionV relativeFrom="paragraph">
              <wp:posOffset>78105</wp:posOffset>
            </wp:positionV>
            <wp:extent cx="6427470" cy="3855720"/>
            <wp:effectExtent l="0" t="0" r="11430" b="11430"/>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6427470" cy="3855720"/>
                    </a:xfrm>
                    <a:prstGeom prst="rect">
                      <a:avLst/>
                    </a:prstGeom>
                    <a:noFill/>
                    <a:ln>
                      <a:noFill/>
                    </a:ln>
                  </pic:spPr>
                </pic:pic>
              </a:graphicData>
            </a:graphic>
          </wp:anchor>
        </w:drawing>
      </w: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p>
    <w:p>
      <w:pPr>
        <w:bidi w:val="0"/>
        <w:ind w:firstLine="231" w:firstLineChars="0"/>
        <w:jc w:val="left"/>
        <w:rPr>
          <w:rFonts w:hint="eastAsia"/>
          <w:lang w:val="en-US" w:eastAsia="zh-CN"/>
        </w:rPr>
      </w:pPr>
      <w:r>
        <w:drawing>
          <wp:anchor distT="0" distB="0" distL="114300" distR="114300" simplePos="0" relativeHeight="251667456" behindDoc="0" locked="0" layoutInCell="1" allowOverlap="1">
            <wp:simplePos x="0" y="0"/>
            <wp:positionH relativeFrom="column">
              <wp:posOffset>-586740</wp:posOffset>
            </wp:positionH>
            <wp:positionV relativeFrom="paragraph">
              <wp:posOffset>15240</wp:posOffset>
            </wp:positionV>
            <wp:extent cx="6563360" cy="3388995"/>
            <wp:effectExtent l="0" t="0" r="8890" b="1905"/>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6563360" cy="338899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997A5C"/>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690CEA"/>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5C3AC9"/>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3F707F"/>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5A61"/>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16786B"/>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501A9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3421E5"/>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2</TotalTime>
  <ScaleCrop>false</ScaleCrop>
  <LinksUpToDate>false</LinksUpToDate>
  <CharactersWithSpaces>20832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2024-11-18T12:20:43Z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