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中共库尔勒市委员会宣传部</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1、拟订宣传思想文化工作重大方针政策和事业发展总体规划，按照市党委统一部署，协调宣传思想文化系统各部门之间的工作。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2、统筹指导协调全市理论研究、理论学习、理论宣传工作，组织推动理论武装工作。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3、负责规划组织领导全市思想政治工作和群众性精神文明建设活动；配合市党委组织部做好党员教育工作；会同有关部门研究和改进群众思想教育工作。会同有关部门组织全市国防教育工作。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4、管理新闻出版行政事务，组织协调有关行政审批工作，监督管理出版物内容和质量。组织指导协调全市“扫黄打非”工作。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负责组织实施库尔勒市精神文明建设规划、协调、指导、创建工作，负责规划和统筹协调库尔勒市未成年人思想道德建设工作。统筹指导协调推动精神文化产品的创作和生产，协调组织中华优秀传统文化传承发展有关工作，指导协调推动群众文化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6、负责管理电影行政事务，指导监管电影制片、发行放映工作，指导协调全市性重大电影活动。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7、统筹协调对外宣传工作，指导协调有关部门研究拟订对外宣传工作战略、重大方针政策和对外宣传事业发展总体规划。受市党委委托代管库尔勒市社科联、库尔勒市文联。</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8、完成市党委、市人民政府交办的其他任务。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中共库尔勒市委员会宣传部</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单位无下属预算单位，下设 4 个处室，分别是：办公室、政策法规和理论研究室、意识形态工作和舆情信息室、公民道德建设和文明创建室（未成年人思想道德建设股）。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509.73万元，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509.73万元，使用非财政拨款结余0.00万元，年初结转和结余0.00万元。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509.73万元，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509.73万元，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增加104.99万元</w:t>
      </w:r>
      <w:r>
        <w:rPr>
          <w:rFonts w:hint="eastAsia" w:ascii="仿宋_GB2312" w:eastAsia="仿宋_GB2312"/>
          <w:color w:val="auto"/>
          <w:spacing w:val="0"/>
          <w:sz w:val="32"/>
          <w:szCs w:val="32"/>
          <w:highlight w:val="none"/>
          <w:lang w:eastAsia="zh-CN"/>
        </w:rPr>
        <w:t>，增长25.94%，主要原因是：本年业务活动较上年增加，人员工资基数增长、社保公积金基数增大。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509.73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490.87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96.30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18.86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3.70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本年支出509.73万元，其中：基本支出425.78万元，占83.53%；项目支出83.95万元，占16.47%；上缴上级支出0.00万元，占0.00%；经营支出0.00万元，占0.00%；对附属单位补助支出0.00万元，占0.00%。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490.87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490.87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490.87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490.87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增加88.16万元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增长21.89%,</w:t>
      </w:r>
      <w:r>
        <w:rPr>
          <w:rFonts w:hint="eastAsia" w:ascii="仿宋_GB2312" w:eastAsia="仿宋_GB2312"/>
          <w:color w:val="auto"/>
          <w:spacing w:val="0"/>
          <w:sz w:val="32"/>
          <w:szCs w:val="32"/>
          <w:highlight w:val="none"/>
          <w:lang w:eastAsia="zh-CN"/>
        </w:rPr>
        <w:t>主要原因是：本年业务活动较上年增加，人员工资基数增长、社保公积金基数增大。与年初预算相比，年初预算数</w:t>
      </w:r>
      <w:r>
        <w:rPr>
          <w:rFonts w:hint="eastAsia" w:ascii="仿宋_GB2312" w:eastAsia="仿宋_GB2312"/>
          <w:color w:val="auto"/>
          <w:spacing w:val="0"/>
          <w:sz w:val="32"/>
          <w:szCs w:val="32"/>
          <w:highlight w:val="none"/>
          <w:lang w:val="zh-CN" w:eastAsia="zh-CN"/>
        </w:rPr>
        <w:t>491.75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490.87</w:t>
      </w:r>
      <w:r>
        <w:rPr>
          <w:rFonts w:hint="eastAsia" w:ascii="仿宋_GB2312" w:eastAsia="仿宋_GB2312"/>
          <w:color w:val="auto"/>
          <w:spacing w:val="0"/>
          <w:sz w:val="32"/>
          <w:szCs w:val="32"/>
          <w:highlight w:val="none"/>
          <w:lang w:eastAsia="zh-CN"/>
        </w:rPr>
        <w:t>万元，预决算差异率-0.18%，主要原因是：厉行节约，精简其他各项办公支出。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2023年度一般公共预算财政拨款支出490.87万元，占本年支出合计的</w:t>
      </w:r>
      <w:r>
        <w:rPr>
          <w:rFonts w:hint="eastAsia" w:ascii="仿宋_GB2312" w:eastAsia="仿宋_GB2312"/>
          <w:color w:val="auto"/>
          <w:spacing w:val="0"/>
          <w:sz w:val="32"/>
          <w:szCs w:val="32"/>
          <w:highlight w:val="none"/>
          <w:lang w:val="zh-CN" w:eastAsia="zh-CN"/>
        </w:rPr>
        <w:t>96.30%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增加88.16万元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增长21.89%,</w:t>
      </w:r>
      <w:r>
        <w:rPr>
          <w:rFonts w:hint="eastAsia" w:ascii="仿宋_GB2312" w:eastAsia="仿宋_GB2312"/>
          <w:color w:val="auto"/>
          <w:spacing w:val="0"/>
          <w:sz w:val="32"/>
          <w:szCs w:val="32"/>
          <w:highlight w:val="none"/>
          <w:lang w:eastAsia="zh-CN"/>
        </w:rPr>
        <w:t>主要原因是：本年业务活动较上年增加，人员工资基数增长、社保公积金基数增大。与年初预算相比，年初预算数</w:t>
      </w:r>
      <w:r>
        <w:rPr>
          <w:rFonts w:hint="eastAsia" w:ascii="仿宋_GB2312" w:eastAsia="仿宋_GB2312"/>
          <w:color w:val="auto"/>
          <w:spacing w:val="0"/>
          <w:sz w:val="32"/>
          <w:szCs w:val="32"/>
          <w:highlight w:val="none"/>
          <w:lang w:val="zh-CN" w:eastAsia="zh-CN"/>
        </w:rPr>
        <w:t>491.75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490.87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-0.18%</w:t>
      </w:r>
      <w:r>
        <w:rPr>
          <w:rFonts w:hint="eastAsia" w:ascii="仿宋_GB2312" w:eastAsia="仿宋_GB2312"/>
          <w:color w:val="auto"/>
          <w:spacing w:val="0"/>
          <w:sz w:val="32"/>
          <w:szCs w:val="32"/>
          <w:highlight w:val="none"/>
          <w:lang w:eastAsia="zh-CN"/>
        </w:rPr>
        <w:t>，主要原因是：厉行节约，精简其他各项办公支出。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370.30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75.44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0.41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17.15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3.49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49.49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24.53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27.38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5.58</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.一般公共服务支出（类）宣传事务（款）行政运行（项）:支出决算数为322.36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62.83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24.21%，主要原因是：</w:t>
      </w:r>
      <w:r>
        <w:rPr>
          <w:rFonts w:hint="eastAsia" w:ascii="Times New Roman" w:hAnsi="Times New Roman" w:eastAsia="仿宋_GB2312" w:cs="Times New Roman"/>
          <w:color w:val="auto"/>
          <w:kern w:val="2"/>
          <w:sz w:val="32"/>
          <w:szCs w:val="32"/>
          <w:highlight w:val="none"/>
          <w:lang w:val="zh-CN" w:eastAsia="zh-CN" w:bidi="ar-SA"/>
        </w:rPr>
        <w:t>本年业务活动年增加，人员工资基数增长、社保公积金基数增大</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.一般公共服务支出（类）宣传事务（款）其他宣传事务支出（项）:支出决算数为47.94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9.56%，主要原因是：</w:t>
      </w:r>
      <w:r>
        <w:rPr>
          <w:rFonts w:hint="eastAsia" w:ascii="Times New Roman" w:hAnsi="Times New Roman" w:eastAsia="仿宋_GB2312" w:cs="Times New Roman"/>
          <w:color w:val="auto"/>
          <w:kern w:val="2"/>
          <w:sz w:val="32"/>
          <w:szCs w:val="32"/>
          <w:highlight w:val="none"/>
          <w:lang w:val="zh-CN" w:eastAsia="zh-CN" w:bidi="ar-SA"/>
        </w:rPr>
        <w:t>援疆资金用于干部宣讲培训</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导致该项支出较上年增加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.教育支出（类）进修及培训（款）培训支出（项）:支出决算数为2.02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81.9</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上年受疫情影响部分培训在本年安排，导致培训费增加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.文化旅游体育与传媒支出（类）其他文化旅游体育与传媒支出（款）其他文化旅游体育与传媒支出（项）:支出决算数为17.15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w:t>
      </w:r>
      <w:r>
        <w:rPr>
          <w:rFonts w:hint="eastAsia" w:eastAsia="仿宋_GB2312" w:cs="Times New Roman"/>
          <w:color w:val="auto"/>
          <w:kern w:val="2"/>
          <w:sz w:val="32"/>
          <w:szCs w:val="32"/>
          <w:highlight w:val="none"/>
          <w:lang w:val="en-US" w:eastAsia="zh-CN" w:bidi="ar-SA"/>
        </w:rPr>
        <w:t>1.15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2023年少数民族地区和边疆地区文化安全补助资金预算的通知[东风工程出版物市场监管和版权保护工作经费增加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.社会保障和就业支出（类）行政事业单位养老支出（款）行政单位离退休（项）:支出决算数为7.01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40.75%，主要原因是：</w:t>
      </w:r>
      <w:r>
        <w:rPr>
          <w:rFonts w:hint="eastAsia" w:eastAsia="仿宋_GB2312" w:cs="Times New Roman"/>
          <w:color w:val="auto"/>
          <w:kern w:val="2"/>
          <w:sz w:val="32"/>
          <w:szCs w:val="32"/>
          <w:highlight w:val="none"/>
          <w:lang w:val="en-US" w:eastAsia="zh-CN" w:bidi="ar-SA"/>
        </w:rPr>
        <w:t>本年退休人员增加，导致此款项增加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.社会保障和就业支出（类）行政事业单位养老支出（款）机关事业单位基本养老保险缴费支出（项）:支出决算数为35.85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4.98%，主要原因是：</w:t>
      </w:r>
      <w:r>
        <w:rPr>
          <w:rFonts w:hint="eastAsia" w:ascii="Times New Roman" w:hAnsi="Times New Roman" w:eastAsia="仿宋_GB2312" w:cs="Times New Roman"/>
          <w:color w:val="auto"/>
          <w:kern w:val="2"/>
          <w:sz w:val="32"/>
          <w:szCs w:val="32"/>
          <w:highlight w:val="none"/>
          <w:lang w:val="zh-CN" w:eastAsia="zh-CN" w:bidi="ar-SA"/>
        </w:rPr>
        <w:t>本年人员工资基数增长、社保基数</w:t>
      </w:r>
      <w:r>
        <w:rPr>
          <w:rFonts w:hint="eastAsia" w:eastAsia="仿宋_GB2312" w:cs="Times New Roman"/>
          <w:color w:val="auto"/>
          <w:kern w:val="2"/>
          <w:sz w:val="32"/>
          <w:szCs w:val="32"/>
          <w:highlight w:val="none"/>
          <w:lang w:val="en-US" w:eastAsia="zh-CN" w:bidi="ar-SA"/>
        </w:rPr>
        <w:t>调增</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.社会保障和就业支出（类）行政事业单位养老支出（款）机关事业单位职业年金缴费支出（项）:支出决算数为6.62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61.</w:t>
      </w:r>
      <w:r>
        <w:rPr>
          <w:rFonts w:hint="eastAsia" w:eastAsia="仿宋_GB2312" w:cs="Times New Roman"/>
          <w:color w:val="auto"/>
          <w:kern w:val="2"/>
          <w:sz w:val="32"/>
          <w:szCs w:val="32"/>
          <w:highlight w:val="none"/>
          <w:lang w:val="en-US" w:eastAsia="zh-CN" w:bidi="ar-SA"/>
        </w:rPr>
        <w:t>46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本年退休人员增加，导致此款项增加。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.卫生健康支出（类）行政事业单位医疗（款）行政单位医疗（项）:支出决算数为18.98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9.39%，主要原因是</w:t>
      </w:r>
      <w:r>
        <w:rPr>
          <w:rFonts w:hint="eastAsia" w:eastAsia="仿宋_GB2312" w:cs="Times New Roman"/>
          <w:color w:val="auto"/>
          <w:kern w:val="2"/>
          <w:sz w:val="32"/>
          <w:szCs w:val="32"/>
          <w:highlight w:val="none"/>
          <w:lang w:val="en-US" w:eastAsia="zh-CN" w:bidi="ar-SA"/>
        </w:rPr>
        <w:t>人员减少，本年调走参公在职1人、事业在职1人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.卫生健康支出（类）行政事业单位医疗（款）公务员医疗补助（项）:支出决算数为5.55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w:t>
      </w:r>
      <w:r>
        <w:rPr>
          <w:rFonts w:hint="eastAsia" w:eastAsia="仿宋_GB2312" w:cs="Times New Roman"/>
          <w:color w:val="auto"/>
          <w:kern w:val="2"/>
          <w:sz w:val="32"/>
          <w:szCs w:val="32"/>
          <w:highlight w:val="none"/>
          <w:lang w:val="en-US" w:eastAsia="zh-CN" w:bidi="ar-SA"/>
        </w:rPr>
        <w:t>54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zh-CN" w:eastAsia="zh-CN" w:bidi="ar-SA"/>
        </w:rPr>
        <w:t>人员工资</w:t>
      </w:r>
      <w:r>
        <w:rPr>
          <w:rFonts w:hint="eastAsia" w:eastAsia="仿宋_GB2312" w:cs="Times New Roman"/>
          <w:color w:val="auto"/>
          <w:kern w:val="2"/>
          <w:sz w:val="32"/>
          <w:szCs w:val="32"/>
          <w:highlight w:val="none"/>
          <w:lang w:val="en-US" w:eastAsia="zh-CN" w:bidi="ar-SA"/>
        </w:rPr>
        <w:t>调增</w:t>
      </w:r>
      <w:r>
        <w:rPr>
          <w:rFonts w:hint="eastAsia" w:ascii="Times New Roman" w:hAnsi="Times New Roman" w:eastAsia="仿宋_GB2312" w:cs="Times New Roman"/>
          <w:color w:val="auto"/>
          <w:kern w:val="2"/>
          <w:sz w:val="32"/>
          <w:szCs w:val="32"/>
          <w:highlight w:val="none"/>
          <w:lang w:val="zh-CN" w:eastAsia="zh-CN" w:bidi="ar-SA"/>
        </w:rPr>
        <w:t>、社保基数</w:t>
      </w:r>
      <w:r>
        <w:rPr>
          <w:rFonts w:hint="eastAsia" w:eastAsia="仿宋_GB2312" w:cs="Times New Roman"/>
          <w:color w:val="auto"/>
          <w:kern w:val="2"/>
          <w:sz w:val="32"/>
          <w:szCs w:val="32"/>
          <w:highlight w:val="none"/>
          <w:lang w:val="en-US" w:eastAsia="zh-CN" w:bidi="ar-SA"/>
        </w:rPr>
        <w:t>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.住房保障支出（类）住房改革支出（款）住房公积金（项）:支出决算数为27.38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8.9</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zh-CN" w:eastAsia="zh-CN" w:bidi="ar-SA"/>
        </w:rPr>
        <w:t>人员工资</w:t>
      </w:r>
      <w:r>
        <w:rPr>
          <w:rFonts w:hint="eastAsia" w:eastAsia="仿宋_GB2312" w:cs="Times New Roman"/>
          <w:color w:val="auto"/>
          <w:kern w:val="2"/>
          <w:sz w:val="32"/>
          <w:szCs w:val="32"/>
          <w:highlight w:val="none"/>
          <w:lang w:val="en-US" w:eastAsia="zh-CN" w:bidi="ar-SA"/>
        </w:rPr>
        <w:t>调增</w:t>
      </w:r>
      <w:r>
        <w:rPr>
          <w:rFonts w:hint="eastAsia"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公积金</w:t>
      </w:r>
      <w:r>
        <w:rPr>
          <w:rFonts w:hint="eastAsia" w:ascii="Times New Roman" w:hAnsi="Times New Roman" w:eastAsia="仿宋_GB2312" w:cs="Times New Roman"/>
          <w:color w:val="auto"/>
          <w:kern w:val="2"/>
          <w:sz w:val="32"/>
          <w:szCs w:val="32"/>
          <w:highlight w:val="none"/>
          <w:lang w:val="zh-CN" w:eastAsia="zh-CN" w:bidi="ar-SA"/>
        </w:rPr>
        <w:t>基数</w:t>
      </w:r>
      <w:r>
        <w:rPr>
          <w:rFonts w:hint="eastAsia" w:eastAsia="仿宋_GB2312" w:cs="Times New Roman"/>
          <w:color w:val="auto"/>
          <w:kern w:val="2"/>
          <w:sz w:val="32"/>
          <w:szCs w:val="32"/>
          <w:highlight w:val="none"/>
          <w:lang w:val="en-US" w:eastAsia="zh-CN" w:bidi="ar-SA"/>
        </w:rPr>
        <w:t>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425.78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403.41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基本工资、津贴补贴、奖金、机关事业单位基本养老保险缴费、职业年金缴费、职工基本医疗保险缴费、公务员医疗补助缴费、其他社会保障缴费、住房公积金、退休费、抚恤金、医疗费补助。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22.37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办公费、邮电费、差旅费、培训费、工会经费、公务用车运行维护费、办公设备购置。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“三公”经费支出4.69万元，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增加1.55万元，</w:t>
      </w:r>
      <w:r>
        <w:rPr>
          <w:rFonts w:hint="eastAsia" w:ascii="仿宋_GB2312" w:eastAsia="仿宋_GB2312"/>
          <w:color w:val="auto"/>
          <w:spacing w:val="0"/>
          <w:sz w:val="32"/>
          <w:szCs w:val="32"/>
          <w:highlight w:val="none"/>
          <w:lang w:val="en-US" w:eastAsia="zh-CN"/>
        </w:rPr>
        <w:t>增长49.36%,</w:t>
      </w:r>
      <w:r>
        <w:rPr>
          <w:rFonts w:hint="eastAsia" w:ascii="仿宋_GB2312" w:eastAsia="仿宋_GB2312"/>
          <w:color w:val="auto"/>
          <w:sz w:val="32"/>
          <w:szCs w:val="32"/>
          <w:highlight w:val="none"/>
          <w:lang w:val="zh-CN" w:eastAsia="zh-CN"/>
        </w:rPr>
        <w:t>主要原因是：本年财政划拨盘盈车辆一台，</w:t>
      </w:r>
      <w:r>
        <w:rPr>
          <w:rFonts w:hint="eastAsia" w:ascii="仿宋_GB2312" w:eastAsia="仿宋_GB2312"/>
          <w:color w:val="auto"/>
          <w:sz w:val="32"/>
          <w:szCs w:val="32"/>
          <w:highlight w:val="none"/>
          <w:lang w:val="en-US" w:eastAsia="zh-CN"/>
        </w:rPr>
        <w:t>导致“三公”经费支出增加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主要原因是：我单位无因公出国（境）费；公务用车购置及运行维护费支出4.69万元，占100.00%，比上年增加1.55万元，</w:t>
      </w:r>
      <w:r>
        <w:rPr>
          <w:rFonts w:hint="eastAsia" w:ascii="仿宋_GB2312" w:eastAsia="仿宋_GB2312"/>
          <w:color w:val="auto"/>
          <w:spacing w:val="0"/>
          <w:sz w:val="32"/>
          <w:szCs w:val="32"/>
          <w:highlight w:val="none"/>
          <w:lang w:val="en-US" w:eastAsia="zh-CN"/>
        </w:rPr>
        <w:t>增长49.36%,</w:t>
      </w:r>
      <w:r>
        <w:rPr>
          <w:rFonts w:hint="eastAsia" w:ascii="仿宋_GB2312" w:eastAsia="仿宋_GB2312"/>
          <w:color w:val="auto"/>
          <w:sz w:val="32"/>
          <w:szCs w:val="32"/>
          <w:highlight w:val="none"/>
          <w:lang w:val="zh-CN" w:eastAsia="zh-CN"/>
        </w:rPr>
        <w:t>主要原因是：本年财政划拨盘盈车辆一台，</w:t>
      </w:r>
      <w:r>
        <w:rPr>
          <w:rFonts w:hint="eastAsia" w:ascii="仿宋_GB2312" w:eastAsia="仿宋_GB2312"/>
          <w:color w:val="auto"/>
          <w:sz w:val="32"/>
          <w:szCs w:val="32"/>
          <w:highlight w:val="none"/>
          <w:lang w:val="en-US" w:eastAsia="zh-CN"/>
        </w:rPr>
        <w:t>导致“三公”经费支出增加；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4.69万元，其中：公务用车购置费0.00万元，公务用车运行维护费4.69万元。公务用车运行维护费开支内容包括车辆保险、燃油费、维修费等。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预算数4.69万元，决算数4.69万元，预决算差异率0.00%，主要原因是：严格控制三公经费，厉行节约。其中：因公出国（境）费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预算数4.69万元，决算数4.69万元，预决算差异率0.00%，主要原因是：严格控制三公经费，厉行节约；公务接待费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中共库尔勒市委员会宣传部（行政单位和参照公务员法管理事业单位）机关运行经费支出22.37万元，</w:t>
      </w:r>
      <w:r>
        <w:rPr>
          <w:rFonts w:hint="eastAsia" w:ascii="Times New Roman" w:hAnsi="Times New Roman" w:eastAsia="仿宋_GB2312" w:cs="Times New Roman"/>
          <w:color w:val="auto"/>
          <w:sz w:val="32"/>
          <w:szCs w:val="32"/>
          <w:highlight w:val="none"/>
          <w:lang w:val="zh-CN" w:eastAsia="zh-CN"/>
        </w:rPr>
        <w:t>比上年增加12.52万元，增长127.1</w:t>
      </w:r>
      <w:r>
        <w:rPr>
          <w:rFonts w:hint="eastAsia"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zh-CN" w:eastAsia="zh-CN"/>
        </w:rPr>
        <w:t>%，主要原因是：上年受疫情影响，机关运行经费支出未能及时支付完毕，</w:t>
      </w:r>
      <w:r>
        <w:rPr>
          <w:rFonts w:hint="eastAsia" w:eastAsia="仿宋_GB2312" w:cs="Times New Roman"/>
          <w:color w:val="auto"/>
          <w:sz w:val="32"/>
          <w:szCs w:val="32"/>
          <w:highlight w:val="none"/>
          <w:lang w:val="en-US" w:eastAsia="zh-CN"/>
        </w:rPr>
        <w:t>导致本年增加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17.16万元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其中：政府采购货物支出1.91万元、政府采购工程支出0.00万元、政府采购服务支出15.25万元。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授予中小企业合同金额17.16万元，占政府采购支出总额的100.00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，其中：授予小微企业合同金额16.67万元，占政府采购支出总额的97.14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1,117.48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屋0.00平方米，价值0.00万元。车辆3辆，价值53.63万元，其中：副部（省）级及以上领导用车0辆、主要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用车0辆、其他用车3辆，其他用车主要是：办公室及单位其他外出办事用车；单价100万元（含）以上设备（不含车辆）0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预算总额509.73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实际执行总额509.73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全年预算数60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全年执行数47.94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bookmarkStart w:id="46" w:name="_Toc7643"/>
      <w:bookmarkStart w:id="47" w:name="_Toc545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-409575</wp:posOffset>
            </wp:positionH>
            <wp:positionV relativeFrom="paragraph">
              <wp:posOffset>41910</wp:posOffset>
            </wp:positionV>
            <wp:extent cx="6173470" cy="8018145"/>
            <wp:effectExtent l="0" t="0" r="17780" b="190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73470" cy="80181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-485775</wp:posOffset>
            </wp:positionH>
            <wp:positionV relativeFrom="paragraph">
              <wp:posOffset>13335</wp:posOffset>
            </wp:positionV>
            <wp:extent cx="6339840" cy="7924800"/>
            <wp:effectExtent l="0" t="0" r="3810" b="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339840" cy="79248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-485775</wp:posOffset>
            </wp:positionH>
            <wp:positionV relativeFrom="paragraph">
              <wp:posOffset>-49530</wp:posOffset>
            </wp:positionV>
            <wp:extent cx="6183630" cy="8422005"/>
            <wp:effectExtent l="0" t="0" r="7620" b="1714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183630" cy="842200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-647700</wp:posOffset>
            </wp:positionH>
            <wp:positionV relativeFrom="paragraph">
              <wp:posOffset>11430</wp:posOffset>
            </wp:positionV>
            <wp:extent cx="6644005" cy="8696960"/>
            <wp:effectExtent l="0" t="0" r="4445" b="889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644005" cy="86969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3360" behindDoc="0" locked="0" layoutInCell="1" allowOverlap="1">
            <wp:simplePos x="0" y="0"/>
            <wp:positionH relativeFrom="column">
              <wp:posOffset>-438150</wp:posOffset>
            </wp:positionH>
            <wp:positionV relativeFrom="paragraph">
              <wp:posOffset>-53340</wp:posOffset>
            </wp:positionV>
            <wp:extent cx="6364605" cy="8762365"/>
            <wp:effectExtent l="0" t="0" r="17145" b="63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364605" cy="87623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48" w:name="_GoBack"/>
      <w:r>
        <w:drawing>
          <wp:anchor distT="0" distB="0" distL="114300" distR="114300" simplePos="0" relativeHeight="251667456" behindDoc="0" locked="0" layoutInCell="1" allowOverlap="1">
            <wp:simplePos x="0" y="0"/>
            <wp:positionH relativeFrom="column">
              <wp:posOffset>-400050</wp:posOffset>
            </wp:positionH>
            <wp:positionV relativeFrom="paragraph">
              <wp:posOffset>-17145</wp:posOffset>
            </wp:positionV>
            <wp:extent cx="6390005" cy="8801735"/>
            <wp:effectExtent l="0" t="0" r="10795" b="18415"/>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tretch>
                      <a:fillRect/>
                    </a:stretch>
                  </pic:blipFill>
                  <pic:spPr>
                    <a:xfrm>
                      <a:off x="0" y="0"/>
                      <a:ext cx="6390005" cy="8801735"/>
                    </a:xfrm>
                    <a:prstGeom prst="rect">
                      <a:avLst/>
                    </a:prstGeom>
                    <a:noFill/>
                    <a:ln>
                      <a:noFill/>
                    </a:ln>
                  </pic:spPr>
                </pic:pic>
              </a:graphicData>
            </a:graphic>
          </wp:anchor>
        </w:drawing>
      </w:r>
      <w:bookmarkEnd w:id="48"/>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4384" behindDoc="0" locked="0" layoutInCell="1" allowOverlap="1">
            <wp:simplePos x="0" y="0"/>
            <wp:positionH relativeFrom="column">
              <wp:posOffset>-657225</wp:posOffset>
            </wp:positionH>
            <wp:positionV relativeFrom="paragraph">
              <wp:posOffset>0</wp:posOffset>
            </wp:positionV>
            <wp:extent cx="6715125" cy="3535680"/>
            <wp:effectExtent l="0" t="0" r="9525" b="762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6715125" cy="35356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5408" behindDoc="0" locked="0" layoutInCell="1" allowOverlap="1">
            <wp:simplePos x="0" y="0"/>
            <wp:positionH relativeFrom="column">
              <wp:posOffset>-638175</wp:posOffset>
            </wp:positionH>
            <wp:positionV relativeFrom="paragraph">
              <wp:posOffset>53340</wp:posOffset>
            </wp:positionV>
            <wp:extent cx="6847840" cy="3258185"/>
            <wp:effectExtent l="0" t="0" r="10160" b="18415"/>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6847840" cy="32581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-276225</wp:posOffset>
            </wp:positionH>
            <wp:positionV relativeFrom="paragraph">
              <wp:posOffset>51435</wp:posOffset>
            </wp:positionV>
            <wp:extent cx="6407785" cy="3594100"/>
            <wp:effectExtent l="0" t="0" r="12065" b="635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6407785" cy="3594100"/>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5F3B75"/>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914F90"/>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5D808CC"/>
    <w:rsid w:val="264A7253"/>
    <w:rsid w:val="26F0170C"/>
    <w:rsid w:val="27201D62"/>
    <w:rsid w:val="27286E73"/>
    <w:rsid w:val="27CF2642"/>
    <w:rsid w:val="27E777F5"/>
    <w:rsid w:val="27EA1D4C"/>
    <w:rsid w:val="27EA2E41"/>
    <w:rsid w:val="282459E2"/>
    <w:rsid w:val="283A7FE5"/>
    <w:rsid w:val="285F51FF"/>
    <w:rsid w:val="28DF2665"/>
    <w:rsid w:val="29072599"/>
    <w:rsid w:val="291029F3"/>
    <w:rsid w:val="293450D9"/>
    <w:rsid w:val="29CB58F0"/>
    <w:rsid w:val="2A053397"/>
    <w:rsid w:val="2A145E96"/>
    <w:rsid w:val="2A2131BB"/>
    <w:rsid w:val="2AF5378F"/>
    <w:rsid w:val="2B01405D"/>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B75032"/>
    <w:rsid w:val="39DA0497"/>
    <w:rsid w:val="3A893816"/>
    <w:rsid w:val="3A893B6D"/>
    <w:rsid w:val="3AD1763A"/>
    <w:rsid w:val="3B4A6B28"/>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4E4291"/>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9</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2024-10-30T10:01:39Z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