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中共库尔勒市委员会宣传部</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1920" w:firstLineChars="600"/>
        <w:jc w:val="left"/>
        <w:rPr>
          <w:rFonts w:hint="eastAsia" w:ascii="仿宋_GB2312" w:hAnsi="宋体" w:eastAsia="仿宋_GB2312"/>
          <w:bCs/>
          <w:sz w:val="32"/>
          <w:szCs w:val="32"/>
        </w:rPr>
      </w:pPr>
      <w:r>
        <w:rPr>
          <w:rFonts w:hint="eastAsia" w:ascii="仿宋_GB2312" w:hAnsi="宋体" w:eastAsia="仿宋_GB2312"/>
          <w:bCs/>
          <w:sz w:val="32"/>
          <w:szCs w:val="32"/>
        </w:rPr>
        <w:t>1.部门职能</w:t>
      </w:r>
      <w:r>
        <w:rPr>
          <w:rFonts w:hint="eastAsia" w:ascii="仿宋_GB2312" w:hAnsi="宋体" w:eastAsia="仿宋_GB2312"/>
          <w:bCs/>
          <w:sz w:val="32"/>
          <w:szCs w:val="32"/>
          <w:lang w:eastAsia="zh-CN"/>
        </w:rPr>
        <w:t>：</w:t>
      </w:r>
      <w:r>
        <w:rPr>
          <w:rFonts w:hint="eastAsia" w:ascii="仿宋_GB2312" w:hAnsi="宋体" w:eastAsia="仿宋_GB2312"/>
          <w:bCs/>
          <w:sz w:val="32"/>
          <w:szCs w:val="32"/>
        </w:rPr>
        <w:t>1、拟订宣传思想文化工作重大方针政策和事业发展总体规划，按照市党委统一部署，协调宣传思想文化系统各部门之间的工作。</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2、统筹协调党的意识形态工作，贯彻落实市党委关于意识形态工作决策部署，组织协调意识形态工作责任制落实和日常监督检查。</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 xml:space="preserve">3、统筹指导协调全市理论研究、理论学习、理论宣传工作，组织推动理论武装工作。 </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4、负责规划组织领导全市思想政治工作和群众性精神文明建设活动；配合市党委组织部做好党员教育工作；会同有关部门研究和改进群众思想教育工作。会同有关部门组织全市国防教育工作。</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5、统筹分析研判和引导社会舆论，指导协调新闻单位工作，组织全市突发公共事件应急新闻工作。</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6、管理新闻出版行政事务，组织协调有关行政审批工作，监督管理出版物内容和质量，承办新闻出版和著作权方面对外交流合作事务，组织指导协调全市“扫黄打非”工作。</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7、负责管理电影行政事务，指导监管电影制片、发行放映工作，组织对电影内容进行审查，指导协调全市性重大电影活动。</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8、统筹协调对外宣传工作，指导协调有关部门研究拟订对外宣传工作战略、重大方针政策和对外宣传事业发展总体规划。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9、负责组织开展宣传思想文化系统干部教育培训工作。协调相关部门开展库尔勒市新闻、出版、文艺和政工等系列专业技术职称评审工作。</w:t>
      </w:r>
    </w:p>
    <w:p>
      <w:p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 xml:space="preserve">10、指导市人民政府信息化办公室信息宣传工作实施方针、政策，归口领导库尔勒市广播电视台，受市党委委托代管库尔勒市社科联、库尔勒市文联。 </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11、完成市党委、市人民政府交办的其他任务。</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中共库尔勒市委员会宣传部编制数33人，实有人数36人，其中：在职25人；退休11人。</w:t>
      </w:r>
      <w:bookmarkStart w:id="0" w:name="_Hlk43849111"/>
      <w:bookmarkEnd w:id="0"/>
    </w:p>
    <w:p>
      <w:pPr>
        <w:spacing w:line="600" w:lineRule="exact"/>
        <w:ind w:firstLine="643" w:firstLineChars="2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1.2023年度工作计划</w:t>
      </w:r>
      <w:r>
        <w:rPr>
          <w:rFonts w:hint="eastAsia" w:ascii="仿宋_GB2312" w:hAnsi="宋体" w:eastAsia="仿宋_GB2312"/>
          <w:bCs/>
          <w:sz w:val="32"/>
          <w:szCs w:val="32"/>
          <w:lang w:eastAsia="zh-CN"/>
        </w:rPr>
        <w:t>：</w:t>
      </w:r>
      <w:r>
        <w:rPr>
          <w:rFonts w:hint="eastAsia" w:ascii="仿宋_GB2312" w:hAnsi="宋体" w:eastAsia="仿宋_GB2312"/>
          <w:bCs/>
          <w:sz w:val="32"/>
          <w:szCs w:val="32"/>
        </w:rPr>
        <w:t>推动习近平新时代中国特色社会主义思想入脑入心。紧密结合习近平新时代党的创新理论和党的二十大精神学习宣传工作，召开重要会议8次，起草重要文件5个，党员领导干部带头讲党课、带头去基层宣讲，深化“习近平新时代中国特色社会主义思想进万家”活动，加强面对面宣讲，不断增强宣传普及的亲和力与影响力。</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强化责任落实，牢牢把握意识形态工作领导权。严格落实意识形态工作机制，持续开展意识形态领域反分裂斗争。扎实推进“扫黄打非”进基层全覆盖，加强文化市场检查6次，抓好非法出版物专项清理，坚决阻断非法出版物传播途径。</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持续提升策划能力，扩大对外宣传影响力。紧紧围绕元宵节社火表演、梨花节等各类重大主题活动，全年组织实施文化项目5个，依托“我们的节日”系列主题活动，通过联动直播，不断打造独具特色的品牌文化。持续加强不少于3家上级主流媒体的合作力度，不断提升库尔勒市“塞外明珠·山水梨城”的城市影响力和美誉度。</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推动文化繁荣发展，满足各族群众精神文化生活新期待。宣传和推介新疆库尔勒是个好地方、“塞外明珠·山水梨城”等文化旅游资源，提高知名度和美誉度。积极开展百日文化广场、我们中国梦——文化进万家等活动，弘扬优秀传统文化，丰富各族群众的精神文化生活，进一步铸牢中华民族共同体意识。</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深化文明培育，推进精神文明创建工作。持续推进每季度“梨城好人”选树工作。持续做好先进典型挖掘，开展道德模范、文明家庭、新时代好少年评选活动。常态化开展文明城市创建检查指导，大力推广乡风文明一条街、道德楷模榜等做法，培育良好的村风民风，不断提升文明实践工作质效。</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2.机构人员保障情况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中共库尔勒市委员会宣传部编制数2023年通过本部门预算支出，确保了25名在职人员的工资、津贴、补贴、社保、绩效、公积金等以及11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2023年我部门年初安排预算数为491.75万元，其中:上级安排0万元,本级安排491.75万元，其他资金0万元。</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2.预算年中调整情况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我部门年初安排预算数491.75万元，年中调整数+17.98万元，调整后全年预算数509.73万元，预算调整率3.65%。</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我单位2023年度部门整体支出为509.73万元，其中：</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基本支出425.78万元，主要用于：基本工资、津贴补贴、奖金、机关事业单位基本养老保险缴费、职业年金缴费、职工基本医疗保险缴费、办公费、差旅费、维修（护）费、福利费、退休费，抚恤金，生活补助，其他个人补助支出等。</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项目支出83.95万元，主要用于部门专项—宣传思想、全国文明城市年度测评工作经费项目47.94万元、2021年援疆项目第一批资金[《新疆的若干历史问题》等4个白皮书宣传宣讲]项目9.13万元、巴财建〔2022〕55号《新疆的若干历史问题》等4个白皮书宣传、宣讲项目1.85万元、巴财建［2023］68号2023年第1批援疆资金《新疆的若干历史问题》等5个白皮书宣传、宣讲项目7.88万元、巴财教〔2022〕7号少数民族地区和边疆地区文化安全补助资金项目9.90万元、巴财教[2022]50号关于提前下达2023年少数民族地区和边疆地区文化安全补助资金预算的通知[东风工程出版物市场监管和版权保护工作经费]项目7.25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numPr>
          <w:ilvl w:val="0"/>
          <w:numId w:val="2"/>
        </w:num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基本支出投入、管理和使用情况</w:t>
      </w:r>
    </w:p>
    <w:p>
      <w:pPr>
        <w:numPr>
          <w:ilvl w:val="0"/>
          <w:numId w:val="3"/>
        </w:numPr>
        <w:spacing w:line="600" w:lineRule="exact"/>
        <w:ind w:left="638" w:leftChars="304" w:firstLine="320" w:firstLineChars="100"/>
        <w:jc w:val="left"/>
        <w:rPr>
          <w:rFonts w:hint="eastAsia" w:ascii="仿宋_GB2312" w:hAnsi="宋体" w:eastAsia="仿宋_GB2312"/>
          <w:bCs/>
          <w:sz w:val="32"/>
          <w:szCs w:val="32"/>
        </w:rPr>
      </w:pPr>
      <w:r>
        <w:rPr>
          <w:rFonts w:hint="eastAsia" w:ascii="仿宋_GB2312" w:hAnsi="宋体" w:eastAsia="仿宋_GB2312"/>
          <w:bCs/>
          <w:sz w:val="32"/>
          <w:szCs w:val="32"/>
        </w:rPr>
        <w:t>基本支出投入和使用情况</w:t>
      </w:r>
    </w:p>
    <w:p>
      <w:pPr>
        <w:numPr>
          <w:numId w:val="0"/>
        </w:num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2023年我部门基本支出年初预算安排431.75万元，全年预算数425.78万元，全年实际支出数425.78万元，其中：人员经费403.41万元，公用经费22.37万元。全年预算执行率100.00%。</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2.基本支出管理情况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租赁、加油、维修及购买车辆保险。</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1.项目支出投入和使用情况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2023年本单位共安排6个项目，全年预算数为83.95万元，全年实际支出数83.95万元，执行率100.00%。</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其中:上级安排项目2个17.15万元，本级安排项目1个47.94万元,其他资金安排项目3个18.86万元。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2.项目支出管理情况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640" w:firstLineChars="200"/>
        <w:jc w:val="left"/>
        <w:rPr>
          <w:rFonts w:ascii="仿宋_GB2312" w:hAnsi="宋体" w:eastAsia="仿宋_GB2312"/>
          <w:b/>
          <w:sz w:val="32"/>
          <w:szCs w:val="32"/>
        </w:rPr>
      </w:pP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我单位将部门单位整体绩效目标细化分解为具体的绩效指标，一级指标共1条，二级指标共1条，三级指标共4条，其中量化指标条数共4条，所有绩效指标均通过清晰、可衡量的指标值予以体现。</w:t>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（三）指标三：履职效能</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数量指标1：全年组织实施各类宣传文化项目数量,预期指标值为：&gt;=5个；监控节点完成值：=3个；评价实际完成值：=5个；指标完成率：100.00%；成效分析：通过单位正常运转，满足了群众多元化需求。</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拟制定或起草的重要文件数量,预期指标值为：&gt;=5件；监控节点完成值：=5个；评价实际完成值：=5个；指标完成率：100.00%；成效分析：通过单位正常运转，党的创新理论落地生根，社会文明程度不断提高，主流舆论持续巩固壮大。</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拟筹备或召开的重要会议数量,预期指标值为：&gt;=8个；监控节点完成值：=5个；评价实际完成值：=8个；指标完成率：100.00%；成效分析：通过单位正常运转，党的创新理论落地生根，社会文明程度不断提高，主流舆论持续巩固壮大。</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4：加强文化市场监督检查,预期指标值为：&gt;=6次；监控节点完成值：=3次；评价实际完成值：=6次；指标完成率：100.00%；成效分析：通过单位正常运转，深入清理有害出版物及信息、全面扫除各类文化垃圾，净化了文化市场。</w:t>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（五）指标五：可持续发展能力</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（六）指标六：服务对象满意度</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lang w:eastAsia="zh-CN"/>
        </w:rPr>
        <w:t>。</w:t>
      </w:r>
      <w:r>
        <w:rPr>
          <w:rFonts w:hint="eastAsia" w:ascii="仿宋_GB2312" w:hAnsi="宋体" w:eastAsia="仿宋_GB2312"/>
          <w:bCs/>
          <w:sz w:val="32"/>
          <w:szCs w:val="32"/>
        </w:rPr>
        <w:t>2023年度部门整体支出绩效自评综合得分100分，评价结果为“优”。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预算管理主</w:t>
      </w:r>
      <w:r>
        <w:rPr>
          <w:rFonts w:hint="eastAsia" w:ascii="仿宋_GB2312" w:hAnsi="宋体" w:eastAsia="仿宋_GB2312"/>
          <w:bCs/>
          <w:sz w:val="32"/>
          <w:szCs w:val="32"/>
          <w:lang w:val="en-US" w:eastAsia="zh-CN"/>
        </w:rPr>
        <w:t>体</w:t>
      </w:r>
      <w:r>
        <w:rPr>
          <w:rFonts w:hint="eastAsia" w:ascii="仿宋_GB2312" w:hAnsi="宋体" w:eastAsia="仿宋_GB2312"/>
          <w:bCs/>
          <w:sz w:val="32"/>
          <w:szCs w:val="32"/>
        </w:rPr>
        <w:t>责任落实不够到位。承担项目建设任务的负责人和单位领导责任意识不强，参与预算绩效管理工作的主动性、积极性不高，还存在责任不清、被动应付的情况，未能充分发挥预算绩效管理促进项目资金高效使用的作用。</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预算绩效管理水平不足。从事预算绩效管理的工作人员，在目标设定、指标设置、审核、跟踪、评价等方面存在能力不足的问题。将业务管理与绩效管理充分融合方面还有待提高，在不同项目核心绩效指标的细化、量化上还需要下功夫多做研究。</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强化预算绩效管理责任意识。项目责任科室和单位领导要进一步提高政治站位，增强预算绩效管理责任意识，不断强化“花钱必问效、无效必问责”的绩效管理理念，认真落实预算管理主体责任，切实提高项目建设质量，合理安排预算执行进度，确保绩效评价结果达到预期目标。</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有效提升预算绩效管理质量。项目责任科室和实施单位要按照“全方位、全过程、全覆盖”的预算绩效闭环管理要求，切实加强事前绩效评估、事中绩效监控、事后绩效评价的闭环管理体系建设，健全项目预算绩效管理制度、科学、合理、精准设置项目支出绩效目标，推动绩效管理标准科学、程序规范、方法合理、结果可信，不断提高预算绩效管理工作水平。</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bookmarkStart w:id="1" w:name="_GoBack"/>
      <w:bookmarkEnd w:id="1"/>
      <w:r>
        <w:rPr>
          <w:rFonts w:hint="eastAsia" w:ascii="仿宋_GB2312" w:hAnsi="宋体" w:eastAsia="仿宋_GB2312"/>
          <w:bCs/>
          <w:sz w:val="32"/>
          <w:szCs w:val="32"/>
        </w:rPr>
        <w:t>加强监管，做到监管机制环环相扣，不出现断层、漏洞，坚决把全力关进制度的笼子。进一步完善财务制度，规范财经纪律。不断加强财务人员的业务学习，提高业务能力，参加业务培训学习。健全和完善激励与约束机制，实行项目申报制，严格执行预算执行。</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A838CF"/>
    <w:multiLevelType w:val="singleLevel"/>
    <w:tmpl w:val="88A838CF"/>
    <w:lvl w:ilvl="0" w:tentative="0">
      <w:start w:val="1"/>
      <w:numFmt w:val="decimal"/>
      <w:lvlText w:val="%1."/>
      <w:lvlJc w:val="left"/>
      <w:pPr>
        <w:tabs>
          <w:tab w:val="left" w:pos="312"/>
        </w:tabs>
      </w:pPr>
    </w:lvl>
  </w:abstractNum>
  <w:abstractNum w:abstractNumId="1">
    <w:nsid w:val="F9B54EFF"/>
    <w:multiLevelType w:val="singleLevel"/>
    <w:tmpl w:val="F9B54EFF"/>
    <w:lvl w:ilvl="0" w:tentative="0">
      <w:start w:val="1"/>
      <w:numFmt w:val="chineseCounting"/>
      <w:suff w:val="nothing"/>
      <w:lvlText w:val="（%1）"/>
      <w:lvlJc w:val="left"/>
      <w:rPr>
        <w:rFonts w:hint="eastAsia"/>
      </w:r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2E4157E4"/>
    <w:rsid w:val="51C70EA9"/>
    <w:rsid w:val="54F842B6"/>
    <w:rsid w:val="64F5745B"/>
    <w:rsid w:val="656071F2"/>
    <w:rsid w:val="6BF1756B"/>
    <w:rsid w:val="6F5E1AA3"/>
    <w:rsid w:val="704A4FC2"/>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14</TotalTime>
  <ScaleCrop>false</ScaleCrop>
  <LinksUpToDate>false</LinksUpToDate>
  <CharactersWithSpaces>384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YIKNETHNIGJXR97</cp:lastModifiedBy>
  <dcterms:modified xsi:type="dcterms:W3CDTF">2025-02-06T10:25:28Z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4E2A216151A24EE5A190066F518526B7</vt:lpwstr>
  </property>
</Properties>
</file>