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中共库尔勒市委员会宣传部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1、拟订宣传思想文化工作重大方针政策和事业发展总体规划，按照市党委统一部署，协调宣传思想文化系统各部门之间的工作。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2、统筹指导协调全市理论研究、理论学习、理论宣传工作，组织推动理论武装工作。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3、负责规划组织领导全市思想政治工作和群众性精神文明建设活动；配合市党委组织部做好党员教育工作；会同有关部门研究和改进群众思想教育工作。会同有关部门组织全市国防教育工作。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4、管理新闻出版行政事务，组织协调有关行政审批工作，监督管理出版物内容和质量。组织指导协调全市“扫黄打非”工作。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负责组织实施库尔勒市精神文明建设规划、协调、指导、创建工作，负责规划和统筹协调库尔勒市未成年人思想道德建设工作。统筹指导协调推动精神文化产品的创作和生产，协调组织中华优秀传统文化传承发展有关工作，指导协调推动群众文化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6、负责管理电影行政事务，指导监管电影制片、发行放映工作，指导协调全市性重大电影活动。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7、统筹协调对外宣传工作，指导协调有关部门研究拟订对外宣传工作战略、重大方针政策和对外宣传事业发展总体规划。受市党委委托代管库尔勒市社科联、库尔勒市文联。</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8、完成市党委、市人民政府交办的其他任务。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中共库尔勒市委员会宣传部</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中共库尔勒市委员会宣传部</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中共库尔勒市委员会宣传部</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中共库尔勒市委员会宣传部</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 4 个处室，分别是：办公室、政策法规和理论研究室、意识形态工作和舆情信息室、公民道德建设和文明创建室（未成年人思想道德建设股）。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中共库尔勒市委员会宣传部</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color w:val="auto"/>
          <w:sz w:val="32"/>
          <w:szCs w:val="32"/>
          <w:highlight w:val="none"/>
          <w:lang w:val="en-US" w:eastAsia="zh-CN"/>
        </w:rPr>
        <w:t>中共库尔勒市委员会宣传部</w:t>
      </w:r>
      <w:r>
        <w:rPr>
          <w:rFonts w:hint="eastAsia" w:ascii="仿宋_GB2312" w:hAnsi="宋体" w:eastAsia="仿宋_GB2312" w:cs="宋体"/>
          <w:color w:val="auto"/>
          <w:kern w:val="0"/>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2.库尔勒市融媒体中心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1,847.40万元，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1,847.40万元，使用非财政拨款结余0.00万元，年初结转和结余0.00万元。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1,847.40万元，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1,847.40万元，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207.06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12.62</w:t>
      </w:r>
      <w:r>
        <w:rPr>
          <w:rFonts w:hint="eastAsia" w:ascii="仿宋_GB2312" w:eastAsia="仿宋_GB2312"/>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eastAsia="zh-CN"/>
        </w:rPr>
        <w:t>主要原因是：本年业务活动较上年增加，人员工资基数增长、社保公积金基数增大、</w:t>
      </w:r>
      <w:r>
        <w:rPr>
          <w:rFonts w:hint="eastAsia" w:ascii="仿宋_GB2312" w:eastAsia="仿宋_GB2312"/>
          <w:color w:val="auto"/>
          <w:spacing w:val="0"/>
          <w:sz w:val="32"/>
          <w:szCs w:val="32"/>
          <w:highlight w:val="none"/>
          <w:lang w:eastAsia="zh-CN"/>
        </w:rPr>
        <w:t>发放2020年下半年绩效奖及2022年、2023年基础绩效奖金。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1,847.40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1,828.54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18.86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本年支出1,847.40万元，其中：基本支出1,143.88万元，占61.92%；项目支出703.52万元，占38.08%；上缴上级支出0.00万元，占0.00%；经营支出0.00万元，占0.00%；对附属单位补助支出0.00万元，占0.00%。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1,828.54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1,828.54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1,828.54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1,828.54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190.22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增长11.61%,</w:t>
      </w:r>
      <w:r>
        <w:rPr>
          <w:rFonts w:hint="eastAsia" w:ascii="仿宋_GB2312" w:hAnsi="Times New Roman" w:eastAsia="仿宋_GB2312" w:cs="Times New Roman"/>
          <w:color w:val="auto"/>
          <w:spacing w:val="0"/>
          <w:sz w:val="32"/>
          <w:szCs w:val="32"/>
          <w:highlight w:val="none"/>
          <w:lang w:eastAsia="zh-CN"/>
        </w:rPr>
        <w:t>主要原因是：本年业务活动较上年增加，人员工资基数增长、社保公积金基数增大、</w:t>
      </w:r>
      <w:r>
        <w:rPr>
          <w:rFonts w:hint="eastAsia" w:ascii="仿宋_GB2312" w:eastAsia="仿宋_GB2312"/>
          <w:color w:val="auto"/>
          <w:spacing w:val="0"/>
          <w:sz w:val="32"/>
          <w:szCs w:val="32"/>
          <w:highlight w:val="none"/>
          <w:lang w:eastAsia="zh-CN"/>
        </w:rPr>
        <w:t>发放2020年下半年绩效奖及2022年、2023年基础绩效奖金。与年初预算相比，年初预算数</w:t>
      </w:r>
      <w:r>
        <w:rPr>
          <w:rFonts w:hint="eastAsia" w:ascii="仿宋_GB2312" w:eastAsia="仿宋_GB2312"/>
          <w:color w:val="auto"/>
          <w:spacing w:val="0"/>
          <w:sz w:val="32"/>
          <w:szCs w:val="32"/>
          <w:highlight w:val="none"/>
          <w:lang w:val="zh-CN" w:eastAsia="zh-CN"/>
        </w:rPr>
        <w:t>2,150.40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1,828.54</w:t>
      </w:r>
      <w:r>
        <w:rPr>
          <w:rFonts w:hint="eastAsia" w:ascii="仿宋_GB2312" w:eastAsia="仿宋_GB2312"/>
          <w:color w:val="auto"/>
          <w:spacing w:val="0"/>
          <w:sz w:val="32"/>
          <w:szCs w:val="32"/>
          <w:highlight w:val="none"/>
          <w:lang w:eastAsia="zh-CN"/>
        </w:rPr>
        <w:t>万元，预决算差异率-14.97%，</w:t>
      </w:r>
      <w:r>
        <w:rPr>
          <w:rFonts w:hint="eastAsia" w:ascii="仿宋_GB2312" w:hAnsi="Times New Roman" w:eastAsia="仿宋_GB2312" w:cs="Times New Roman"/>
          <w:color w:val="auto"/>
          <w:spacing w:val="0"/>
          <w:sz w:val="32"/>
          <w:szCs w:val="32"/>
          <w:highlight w:val="none"/>
          <w:lang w:eastAsia="zh-CN"/>
        </w:rPr>
        <w:t>主要原因是：厉行节约，精简其他各项办公支出。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2023年度一般公共预算财政拨款支出1,217.12万元，占本年支出合计的</w:t>
      </w:r>
      <w:r>
        <w:rPr>
          <w:rFonts w:hint="eastAsia" w:ascii="仿宋_GB2312" w:eastAsia="仿宋_GB2312"/>
          <w:color w:val="auto"/>
          <w:spacing w:val="0"/>
          <w:sz w:val="32"/>
          <w:szCs w:val="32"/>
          <w:highlight w:val="none"/>
          <w:lang w:val="zh-CN" w:eastAsia="zh-CN"/>
        </w:rPr>
        <w:t>65.88%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减少421.2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下降25.71%,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上年根据工程进度，以偿还部分工程款，导致本年财政拨款减少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1,534.98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1,217.12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-20.71%</w:t>
      </w:r>
      <w:r>
        <w:rPr>
          <w:rFonts w:hint="eastAsia" w:ascii="仿宋_GB2312" w:eastAsia="仿宋_GB2312"/>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主要原因是：</w:t>
      </w:r>
      <w:r>
        <w:rPr>
          <w:rFonts w:hint="eastAsia" w:ascii="仿宋_GB2312" w:hAnsi="Times New Roman" w:eastAsia="仿宋_GB2312" w:cs="Times New Roman"/>
          <w:color w:val="auto"/>
          <w:spacing w:val="0"/>
          <w:sz w:val="32"/>
          <w:szCs w:val="32"/>
          <w:highlight w:val="none"/>
          <w:lang w:eastAsia="zh-CN"/>
        </w:rPr>
        <w:t>厉行节约，精简其他各项办公支出。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370.30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30.42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743.40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49.49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24.53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27.38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2.25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.一般公共服务支出（类）宣传事务（款）行政运行（项）:支出决算数为322.36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，比上年决算增加62.83万元，增长24.21%，主要原因是：本年业务活动年增加，人员工资基数增长、社保公积金基数增大。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.一般公共服务支出（类）宣传事务（款）其他宣传事务支出（项）:支出决算数为47.94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，比上年决算增加4.18万元，增长9.56%，主要原因是：援疆资金用于干部宣讲培训</w:t>
      </w:r>
      <w:r>
        <w:rPr>
          <w:rFonts w:hint="eastAsia" w:eastAsia="仿宋_GB2312" w:cs="Times New Roman"/>
          <w:color w:val="auto"/>
          <w:kern w:val="2"/>
          <w:sz w:val="32"/>
          <w:szCs w:val="32"/>
          <w:highlight w:val="none"/>
          <w:lang w:val="en-US" w:eastAsia="zh-CN" w:bidi="ar-SA"/>
        </w:rPr>
        <w:t>，导致该项支出增加</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.教育支出（类）进修及培训（款）培训支出（项）:支出决算数为2.02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，比上年决算增加0.91万元，增长81.9</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%，主要原因是：上年受疫情影响部分培训在本年安排，导致培训费增加。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4.文化旅游体育与传媒支出（类）广播电视（款）广播电视事务（项）:支出决算数为726.25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，比上年决算增加135.34万元，增长22.90%，主要原因是：人员调资、发放2020年下半年绩效奖及20222年、2023年基础绩效奖金。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.文化旅游体育与传媒支出（类）其他文化旅游体育与传媒支出（款）其他文化旅游体育与传媒支出（项）:支出决算数为17.15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，比上年决算增加13.51万元，增长37</w:t>
      </w:r>
      <w:r>
        <w:rPr>
          <w:rFonts w:hint="eastAsia" w:eastAsia="仿宋_GB2312" w:cs="Times New Roman"/>
          <w:color w:val="auto"/>
          <w:kern w:val="2"/>
          <w:sz w:val="32"/>
          <w:szCs w:val="32"/>
          <w:highlight w:val="none"/>
          <w:lang w:val="en-US" w:eastAsia="zh-CN" w:bidi="ar-SA"/>
        </w:rPr>
        <w:t>1.15</w:t>
      </w:r>
      <w:r>
        <w:rPr>
          <w:rFonts w:hint="eastAsia" w:ascii="Times New Roman" w:hAnsi="Times New Roman" w:eastAsia="仿宋_GB2312" w:cs="Times New Roman"/>
          <w:color w:val="auto"/>
          <w:kern w:val="2"/>
          <w:sz w:val="32"/>
          <w:szCs w:val="32"/>
          <w:highlight w:val="none"/>
          <w:lang w:val="en-US" w:eastAsia="zh-CN" w:bidi="ar-SA"/>
        </w:rPr>
        <w:t>%，主要原因是：2023年少数民族地区和边疆地区文化安全补助资金预算的通知[东风工程出版物市场监管和版权保护工作经费增加。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，比上年决算增加2.03万元，增长40.75%，主要原因是：本年退休人员增加，导致此款项增加。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.社会保障和就业支出（类）行政事业单位养老支出（款）机关事业单位基本养老保险缴费支出（项）:支出决算数为35.85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，比上年决算增加1.70万元，增长4.98%，主要原因是：本年人员工资基数增长、社保基数调增。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，比上年决算增加2.52万元，增长61.</w:t>
      </w:r>
      <w:r>
        <w:rPr>
          <w:rFonts w:hint="eastAsia" w:eastAsia="仿宋_GB2312" w:cs="Times New Roman"/>
          <w:color w:val="auto"/>
          <w:kern w:val="2"/>
          <w:sz w:val="32"/>
          <w:szCs w:val="32"/>
          <w:highlight w:val="none"/>
          <w:lang w:val="en-US" w:eastAsia="zh-CN" w:bidi="ar-SA"/>
        </w:rPr>
        <w:t>42</w:t>
      </w:r>
      <w:r>
        <w:rPr>
          <w:rFonts w:hint="eastAsia" w:ascii="Times New Roman" w:hAnsi="Times New Roman" w:eastAsia="仿宋_GB2312" w:cs="Times New Roman"/>
          <w:color w:val="auto"/>
          <w:kern w:val="2"/>
          <w:sz w:val="32"/>
          <w:szCs w:val="32"/>
          <w:highlight w:val="none"/>
          <w:lang w:val="en-US" w:eastAsia="zh-CN" w:bidi="ar-SA"/>
        </w:rPr>
        <w:t>%，主要原因是：本年退休人员增加，导致此款项增加。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.卫生健康支出（类）行政事业单位医疗（款）行政单位医疗（项）:支出决算数为18.98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，比上年决算减少1.97万元，下降9.39%，主要原因是人员减少，本年调走参公在职1人、事业在职1人。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.卫生健康支出（类）行政事业单位医疗（款）公务员医疗补助（项）:支出决算数为5.55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，比上年决算增加0.19万元，增长3.</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%，主要原因是：本年人员工资调增、社保基数调增。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.住房保障支出（类）住房改革支出（款）住房公积金（项）:支出决算数为27.38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，比上年决算增加2.25万元，增长8.9</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%，主要原因是：本年人员工资调增、公积金基数调增。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12.文化旅游体育与传媒支出（类）其他文化旅游体育与传媒支出（款）其他文化旅游体育与传媒支出（项）:支出决算数为0.00万元，比上年决算减少644.69万元，下降100%，主要原因是：上年新增基建项目费、本年未安排。</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1,143.88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987.91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155.96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办公费、水费、电费、邮电费、差旅费、维修（护）费、培训费、劳务费、工会经费、公务用车运行维护费、其他交通费用、办公设备购置。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“三公”经费支出6.45万元，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1.55</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增长31.63%,</w:t>
      </w:r>
      <w:r>
        <w:rPr>
          <w:rFonts w:hint="eastAsia" w:ascii="仿宋_GB2312" w:eastAsia="仿宋_GB2312"/>
          <w:color w:val="auto"/>
          <w:sz w:val="32"/>
          <w:szCs w:val="32"/>
          <w:highlight w:val="none"/>
          <w:lang w:val="zh-CN" w:eastAsia="zh-CN"/>
        </w:rPr>
        <w:t>主要原因是：本年财政划拨盘盈车辆一台</w:t>
      </w:r>
      <w:r>
        <w:rPr>
          <w:rFonts w:hint="eastAsia" w:ascii="仿宋_GB2312" w:eastAsia="仿宋_GB2312"/>
          <w:color w:val="auto"/>
          <w:sz w:val="32"/>
          <w:szCs w:val="32"/>
          <w:highlight w:val="none"/>
          <w:lang w:val="en-US" w:eastAsia="zh-CN"/>
        </w:rPr>
        <w:t>导致</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无因公出国（境）费；公务用车购置及运行维护费支出6.45万元，占100.00%，比上年增加1.55万元，增长31.63%,主要原因是：本年财政划拨盘盈车辆一台</w:t>
      </w:r>
      <w:r>
        <w:rPr>
          <w:rFonts w:hint="eastAsia" w:ascii="仿宋_GB2312" w:eastAsia="仿宋_GB2312"/>
          <w:color w:val="auto"/>
          <w:sz w:val="32"/>
          <w:szCs w:val="32"/>
          <w:highlight w:val="none"/>
          <w:lang w:val="en-US" w:eastAsia="zh-CN"/>
        </w:rPr>
        <w:t>导致</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6.45万元，其中：公务用车购置费0.00万元，公务用车运行维护费6.45万元。公务用车运行维护费开支内容包括车辆保险、燃油费、维修费等。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预算数6.45万元，决算数6.45万元，预决算差异率0.00%，主要原因是：严格控制三公经费，厉行节约。其中：因公出国（境）费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0.00万元，决算数0.00万元，预决算差异率0.00%，主要原因是：我部门无因公出国（境）费；公务用车购置费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预算数0.00万元，决算数0.00万元，预决算差异率0.00%，主要原因是：我部门无公务用车购置费；公务用车运行费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预算数6.45万元，决算数6.45万元，预决算差异率0.00%，主要原因是：严格控制三公经费，厉行节约；公务接待费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预算数0.00万元，决算数0.00万元，预决算差异率0.00%，主要原因是：我部门无公务接待费。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与上年相比，增加611.42万元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今年新增隐性债务工程款</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615.42</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611.42</w:t>
      </w:r>
      <w:r>
        <w:rPr>
          <w:rFonts w:hint="eastAsia" w:ascii="Times New Roman" w:hAnsi="Times New Roman" w:eastAsia="仿宋_GB2312" w:cs="Times New Roman"/>
          <w:color w:val="auto"/>
          <w:sz w:val="32"/>
          <w:szCs w:val="32"/>
          <w:highlight w:val="none"/>
          <w:lang w:val="zh-CN"/>
        </w:rPr>
        <w:t>万元，预决算差异率-0.65%</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年中预算数调减-</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eastAsia="zh-CN"/>
        </w:rPr>
        <w:t>万元，调整后全年预算数</w:t>
      </w:r>
      <w:r>
        <w:rPr>
          <w:rFonts w:hint="eastAsia" w:ascii="仿宋_GB2312" w:eastAsia="仿宋_GB2312"/>
          <w:color w:val="auto"/>
          <w:spacing w:val="0"/>
          <w:sz w:val="32"/>
          <w:szCs w:val="32"/>
          <w:highlight w:val="none"/>
          <w:lang w:val="en-US" w:eastAsia="zh-CN"/>
        </w:rPr>
        <w:t>611.42</w:t>
      </w:r>
      <w:r>
        <w:rPr>
          <w:rFonts w:hint="eastAsia" w:ascii="仿宋_GB2312" w:eastAsia="仿宋_GB2312"/>
          <w:color w:val="auto"/>
          <w:spacing w:val="0"/>
          <w:sz w:val="32"/>
          <w:szCs w:val="32"/>
          <w:highlight w:val="none"/>
          <w:lang w:eastAsia="zh-CN"/>
        </w:rPr>
        <w:t>万元，决算数相应减少</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611.42</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1.城乡社区支出（类）国有土地使用权出让收入安排的支出（款）其他国有土地使用权出让收入安排的支出（项）:支出决算数为611.42</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611.42</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ascii="Times New Roman" w:hAnsi="Times New Roman" w:eastAsia="仿宋_GB2312" w:cs="Times New Roman"/>
          <w:color w:val="auto"/>
          <w:sz w:val="32"/>
          <w:szCs w:val="32"/>
          <w:highlight w:val="none"/>
          <w:lang w:val="en-US" w:eastAsia="zh-CN"/>
        </w:rPr>
        <w:t>今年新增隐性债务工程款</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bookmarkStart w:id="24" w:name="_Toc227"/>
      <w:bookmarkStart w:id="25" w:name="_Toc26704"/>
      <w:r>
        <w:rPr>
          <w:rFonts w:hint="eastAsia" w:ascii="仿宋_GB2312" w:hAnsi="Times New Roman" w:eastAsia="仿宋_GB2312" w:cs="Times New Roman"/>
          <w:color w:val="auto"/>
          <w:sz w:val="32"/>
          <w:szCs w:val="32"/>
          <w:highlight w:val="none"/>
          <w:lang w:val="zh-CN" w:eastAsia="zh-CN"/>
        </w:rPr>
        <w:t>2023年度</w:t>
      </w:r>
      <w:r>
        <w:rPr>
          <w:rFonts w:hint="eastAsia" w:ascii="仿宋_GB2312" w:hAnsi="Times New Roman" w:eastAsia="仿宋_GB2312" w:cs="Times New Roman"/>
          <w:color w:val="auto"/>
          <w:sz w:val="32"/>
          <w:szCs w:val="32"/>
          <w:highlight w:val="none"/>
          <w:lang w:val="en-US" w:eastAsia="zh-CN"/>
        </w:rPr>
        <w:t>中共库尔勒市委员会宣传部（行政单位和参照公务员法管理事业单位）机关运行经费支出22.37万元，</w:t>
      </w:r>
      <w:r>
        <w:rPr>
          <w:rFonts w:hint="eastAsia" w:ascii="仿宋_GB2312" w:hAnsi="Times New Roman" w:eastAsia="仿宋_GB2312" w:cs="Times New Roman"/>
          <w:color w:val="auto"/>
          <w:sz w:val="32"/>
          <w:szCs w:val="32"/>
          <w:highlight w:val="none"/>
          <w:lang w:val="zh-CN" w:eastAsia="zh-CN"/>
        </w:rPr>
        <w:t>比上年增加12.52万元，增长127.1</w:t>
      </w:r>
      <w:r>
        <w:rPr>
          <w:rFonts w:hint="eastAsia" w:ascii="仿宋_GB2312" w:hAnsi="Times New Roman" w:eastAsia="仿宋_GB2312" w:cs="Times New Roman"/>
          <w:color w:val="auto"/>
          <w:sz w:val="32"/>
          <w:szCs w:val="32"/>
          <w:highlight w:val="none"/>
          <w:lang w:val="en-US" w:eastAsia="zh-CN"/>
        </w:rPr>
        <w:t>1</w:t>
      </w:r>
      <w:r>
        <w:rPr>
          <w:rFonts w:hint="eastAsia" w:ascii="仿宋_GB2312" w:hAnsi="Times New Roman" w:eastAsia="仿宋_GB2312" w:cs="Times New Roman"/>
          <w:color w:val="auto"/>
          <w:sz w:val="32"/>
          <w:szCs w:val="32"/>
          <w:highlight w:val="none"/>
          <w:lang w:val="zh-CN" w:eastAsia="zh-CN"/>
        </w:rPr>
        <w:t>%，主要原因是：上年受疫情影响，机关运行经费支出未能及时支付完毕，</w:t>
      </w:r>
      <w:r>
        <w:rPr>
          <w:rFonts w:hint="eastAsia" w:ascii="仿宋_GB2312" w:hAnsi="Times New Roman" w:eastAsia="仿宋_GB2312" w:cs="Times New Roman"/>
          <w:color w:val="auto"/>
          <w:sz w:val="32"/>
          <w:szCs w:val="32"/>
          <w:highlight w:val="none"/>
          <w:lang w:val="en-US" w:eastAsia="zh-CN"/>
        </w:rPr>
        <w:t>导致本年增加。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中共库尔勒市委员会宣传部（事业单位）公用经费支出133.59万元，比上年减少88.69万元，下降39.90%，主要原因是：本年广告宣传和其他业务活动减少。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21.87万元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其中：政府采购货物支出2.07万元、政府采购工程支出0.00万元、政府采购服务支出19.80万元。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授予中小企业合同金额21.87万元，占政府采购支出总额的100.00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，其中：授予小微企业合同金额17.32万元，占政府采购支出总额的79.</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4,901.21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屋0.00平方米，价值0.00万元。车辆4辆，价值62.58万元，其中：副部（省）级及以上领导用车0辆、主要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用车0辆、其他用车4辆，其他用车主要是：公务用车；单价100万元（含）以上设备（不含车辆）0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根据预算绩效管理要求，我部门2023年度预算绩效管理整体支出绩效自评表0个，全年预算总额0万元，实际执行总额0万元；预算绩效评价项目2个，全年预算数140万元，全年执行数127.32万元。预算绩效</w:t>
      </w:r>
      <w:bookmarkStart w:id="48" w:name="_GoBack"/>
      <w:bookmarkEnd w:id="48"/>
      <w:r>
        <w:rPr>
          <w:rFonts w:hint="eastAsia" w:ascii="仿宋_GB2312" w:eastAsia="仿宋_GB2312"/>
          <w:color w:val="auto"/>
          <w:sz w:val="32"/>
          <w:szCs w:val="32"/>
          <w:highlight w:val="none"/>
          <w:lang w:eastAsia="zh-CN"/>
        </w:rPr>
        <w:t>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根据预算绩效管理要求，我部门2023年度预算绩效管理整体支出绩效自评表0个，全年预算总额0万元，实际执行总额0万元；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-657225</wp:posOffset>
            </wp:positionH>
            <wp:positionV relativeFrom="paragraph">
              <wp:posOffset>-5715</wp:posOffset>
            </wp:positionV>
            <wp:extent cx="6611620" cy="8604885"/>
            <wp:effectExtent l="0" t="0" r="17780" b="571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611620" cy="86048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-495300</wp:posOffset>
            </wp:positionH>
            <wp:positionV relativeFrom="paragraph">
              <wp:posOffset>-45720</wp:posOffset>
            </wp:positionV>
            <wp:extent cx="6563995" cy="8673465"/>
            <wp:effectExtent l="0" t="0" r="8255" b="1333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6563995" cy="86734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-609600</wp:posOffset>
            </wp:positionH>
            <wp:positionV relativeFrom="paragraph">
              <wp:posOffset>11430</wp:posOffset>
            </wp:positionV>
            <wp:extent cx="6645910" cy="8639175"/>
            <wp:effectExtent l="0" t="0" r="2540" b="952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6645910" cy="86391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-647700</wp:posOffset>
            </wp:positionH>
            <wp:positionV relativeFrom="paragraph">
              <wp:posOffset>3810</wp:posOffset>
            </wp:positionV>
            <wp:extent cx="6649720" cy="8492490"/>
            <wp:effectExtent l="0" t="0" r="17780" b="381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6649720" cy="84924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-476250</wp:posOffset>
            </wp:positionH>
            <wp:positionV relativeFrom="paragraph">
              <wp:posOffset>-40005</wp:posOffset>
            </wp:positionV>
            <wp:extent cx="6373495" cy="8502650"/>
            <wp:effectExtent l="0" t="0" r="8255" b="1270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6373495" cy="85026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posOffset>-523875</wp:posOffset>
            </wp:positionH>
            <wp:positionV relativeFrom="paragraph">
              <wp:posOffset>-55245</wp:posOffset>
            </wp:positionV>
            <wp:extent cx="6334760" cy="8856980"/>
            <wp:effectExtent l="0" t="0" r="8890" b="127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334760" cy="88569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-438150</wp:posOffset>
            </wp:positionH>
            <wp:positionV relativeFrom="paragraph">
              <wp:posOffset>38100</wp:posOffset>
            </wp:positionV>
            <wp:extent cx="6498590" cy="4340860"/>
            <wp:effectExtent l="0" t="0" r="16510" b="254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6498590" cy="43408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-447675</wp:posOffset>
            </wp:positionH>
            <wp:positionV relativeFrom="paragraph">
              <wp:posOffset>43815</wp:posOffset>
            </wp:positionV>
            <wp:extent cx="6242050" cy="3738245"/>
            <wp:effectExtent l="0" t="0" r="6350" b="14605"/>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2"/>
                    <a:stretch>
                      <a:fillRect/>
                    </a:stretch>
                  </pic:blipFill>
                  <pic:spPr>
                    <a:xfrm>
                      <a:off x="0" y="0"/>
                      <a:ext cx="6242050" cy="37382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-638175</wp:posOffset>
            </wp:positionH>
            <wp:positionV relativeFrom="paragraph">
              <wp:posOffset>60960</wp:posOffset>
            </wp:positionV>
            <wp:extent cx="6685915" cy="3720465"/>
            <wp:effectExtent l="0" t="0" r="635" b="13335"/>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3"/>
                    <a:stretch>
                      <a:fillRect/>
                    </a:stretch>
                  </pic:blipFill>
                  <pic:spPr>
                    <a:xfrm>
                      <a:off x="0" y="0"/>
                      <a:ext cx="6685915" cy="3720465"/>
                    </a:xfrm>
                    <a:prstGeom prst="rect">
                      <a:avLst/>
                    </a:prstGeom>
                    <a:noFill/>
                    <a:ln>
                      <a:noFill/>
                    </a:ln>
                  </pic:spPr>
                </pic:pic>
              </a:graphicData>
            </a:graphic>
          </wp:anchor>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B23E2A"/>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7546B7"/>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F70783"/>
    <w:rsid w:val="1D22799A"/>
    <w:rsid w:val="1D5C1A72"/>
    <w:rsid w:val="1DAF458D"/>
    <w:rsid w:val="1E086ACE"/>
    <w:rsid w:val="1E62130A"/>
    <w:rsid w:val="1E97358B"/>
    <w:rsid w:val="1EAA4A5F"/>
    <w:rsid w:val="1EE869A7"/>
    <w:rsid w:val="1F810656"/>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4C58F1"/>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2D66A6"/>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6732F1"/>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6464</Words>
  <Characters>20742</Characters>
  <Lines>0</Lines>
  <Paragraphs>0</Paragraphs>
  <TotalTime>4</TotalTime>
  <ScaleCrop>false</ScaleCrop>
  <LinksUpToDate>false</LinksUpToDate>
  <CharactersWithSpaces>20980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2024-11-19T12:38:59Z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