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bookmarkStart w:id="0" w:name="_GoBack"/>
    </w:p>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default" w:ascii="Times New Roman" w:hAnsi="Times New Roman" w:eastAsia="黑体" w:cs="Times New Roman"/>
          <w:b/>
          <w:color w:val="auto"/>
          <w:kern w:val="0"/>
          <w:sz w:val="48"/>
          <w:szCs w:val="48"/>
          <w:highlight w:val="none"/>
        </w:rPr>
      </w:pPr>
      <w:r>
        <w:rPr>
          <w:rFonts w:hint="default" w:ascii="Times New Roman" w:hAnsi="Times New Roman" w:eastAsia="黑体" w:cs="Times New Roman"/>
          <w:b/>
          <w:color w:val="auto"/>
          <w:kern w:val="0"/>
          <w:sz w:val="48"/>
          <w:szCs w:val="48"/>
          <w:highlight w:val="none"/>
          <w:lang w:val="en-US" w:eastAsia="zh-CN"/>
        </w:rPr>
        <w:t>库尔勒市</w:t>
      </w:r>
      <w:r>
        <w:rPr>
          <w:rFonts w:hint="default" w:ascii="Times New Roman" w:hAnsi="Times New Roman" w:eastAsia="黑体" w:cs="Times New Roman"/>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default" w:ascii="Times New Roman" w:hAnsi="Times New Roman" w:eastAsia="黑体" w:cs="Times New Roman"/>
          <w:b/>
          <w:color w:val="auto"/>
          <w:kern w:val="0"/>
          <w:sz w:val="48"/>
          <w:szCs w:val="48"/>
          <w:highlight w:val="none"/>
        </w:rPr>
      </w:pPr>
      <w:r>
        <w:rPr>
          <w:rFonts w:hint="default" w:ascii="Times New Roman" w:hAnsi="Times New Roman" w:eastAsia="黑体" w:cs="Times New Roman"/>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default" w:ascii="Times New Roman" w:hAnsi="Times New Roman" w:eastAsia="仿宋" w:cs="Times New Roman"/>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default" w:ascii="Times New Roman" w:hAnsi="Times New Roman" w:eastAsia="黑体" w:cs="Times New Roman"/>
          <w:color w:val="auto"/>
          <w:kern w:val="0"/>
          <w:sz w:val="36"/>
          <w:szCs w:val="36"/>
          <w:highlight w:val="none"/>
        </w:rPr>
      </w:pPr>
      <w:r>
        <w:rPr>
          <w:rFonts w:hint="default" w:ascii="Times New Roman" w:hAnsi="Times New Roman" w:eastAsia="黑体" w:cs="Times New Roman"/>
          <w:color w:val="auto"/>
          <w:kern w:val="0"/>
          <w:sz w:val="36"/>
          <w:szCs w:val="36"/>
          <w:highlight w:val="none"/>
        </w:rPr>
        <w:t>（</w:t>
      </w:r>
      <w:r>
        <w:rPr>
          <w:rFonts w:hint="default" w:ascii="Times New Roman" w:hAnsi="Times New Roman" w:eastAsia="黑体" w:cs="Times New Roman"/>
          <w:color w:val="auto"/>
          <w:kern w:val="0"/>
          <w:sz w:val="36"/>
          <w:szCs w:val="36"/>
          <w:highlight w:val="none"/>
          <w:lang w:val="en-US" w:eastAsia="zh-CN"/>
        </w:rPr>
        <w:t>2023</w:t>
      </w:r>
      <w:r>
        <w:rPr>
          <w:rFonts w:hint="default" w:ascii="Times New Roman" w:hAnsi="Times New Roman" w:eastAsia="黑体" w:cs="Times New Roman"/>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default" w:ascii="Times New Roman" w:hAnsi="Times New Roman" w:eastAsia="仿宋" w:cs="Times New Roman"/>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default" w:ascii="Times New Roman" w:hAnsi="Times New Roman" w:eastAsia="仿宋" w:cs="Times New Roman"/>
          <w:color w:val="auto"/>
          <w:kern w:val="0"/>
          <w:sz w:val="36"/>
          <w:szCs w:val="36"/>
          <w:highlight w:val="none"/>
        </w:rPr>
      </w:pPr>
      <w:r>
        <w:rPr>
          <w:rFonts w:hint="default" w:ascii="Times New Roman" w:hAnsi="Times New Roman" w:eastAsia="仿宋" w:cs="Times New Roman"/>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1080" w:firstLineChars="300"/>
        <w:jc w:val="left"/>
        <w:textAlignment w:val="auto"/>
        <w:rPr>
          <w:rFonts w:hint="default" w:ascii="Times New Roman" w:hAnsi="Times New Roman" w:eastAsia="仿宋" w:cs="Times New Roman"/>
          <w:color w:val="auto"/>
          <w:kern w:val="0"/>
          <w:sz w:val="36"/>
          <w:szCs w:val="36"/>
          <w:highlight w:val="none"/>
          <w:lang w:val="en-US" w:eastAsia="zh-CN"/>
        </w:rPr>
      </w:pPr>
      <w:r>
        <w:rPr>
          <w:rFonts w:hint="default" w:ascii="Times New Roman" w:hAnsi="Times New Roman" w:eastAsia="仿宋" w:cs="Times New Roman"/>
          <w:color w:val="auto"/>
          <w:kern w:val="0"/>
          <w:sz w:val="36"/>
          <w:szCs w:val="36"/>
          <w:highlight w:val="none"/>
        </w:rPr>
        <w:t>部门单位名称（公章）：库尔勒市</w:t>
      </w:r>
      <w:r>
        <w:rPr>
          <w:rFonts w:hint="default" w:ascii="Times New Roman" w:hAnsi="Times New Roman" w:eastAsia="仿宋" w:cs="Times New Roman"/>
          <w:color w:val="auto"/>
          <w:kern w:val="0"/>
          <w:sz w:val="36"/>
          <w:szCs w:val="36"/>
          <w:highlight w:val="none"/>
          <w:lang w:eastAsia="zh-CN"/>
        </w:rPr>
        <w:t>档案馆</w:t>
      </w:r>
    </w:p>
    <w:p>
      <w:pPr>
        <w:pageBreakBefore w:val="0"/>
        <w:kinsoku/>
        <w:wordWrap/>
        <w:overflowPunct/>
        <w:topLinePunct w:val="0"/>
        <w:autoSpaceDE/>
        <w:autoSpaceDN/>
        <w:bidi w:val="0"/>
        <w:adjustRightInd/>
        <w:spacing w:line="700" w:lineRule="exact"/>
        <w:ind w:firstLine="1080" w:firstLineChars="300"/>
        <w:jc w:val="left"/>
        <w:textAlignment w:val="auto"/>
        <w:rPr>
          <w:rFonts w:hint="default" w:ascii="Times New Roman" w:hAnsi="Times New Roman" w:eastAsia="仿宋" w:cs="Times New Roman"/>
          <w:color w:val="auto"/>
          <w:kern w:val="0"/>
          <w:sz w:val="36"/>
          <w:szCs w:val="36"/>
          <w:highlight w:val="none"/>
        </w:rPr>
      </w:pPr>
      <w:r>
        <w:rPr>
          <w:rFonts w:hint="default" w:ascii="Times New Roman" w:hAnsi="Times New Roman" w:eastAsia="仿宋" w:cs="Times New Roman"/>
          <w:color w:val="auto"/>
          <w:kern w:val="0"/>
          <w:sz w:val="36"/>
          <w:szCs w:val="36"/>
          <w:highlight w:val="none"/>
        </w:rPr>
        <w:t>填报时间：</w:t>
      </w:r>
      <w:r>
        <w:rPr>
          <w:rFonts w:hint="default" w:ascii="Times New Roman" w:hAnsi="Times New Roman" w:eastAsia="仿宋" w:cs="Times New Roman"/>
          <w:color w:val="auto"/>
          <w:kern w:val="0"/>
          <w:sz w:val="36"/>
          <w:szCs w:val="36"/>
          <w:highlight w:val="none"/>
          <w:lang w:val="en-US" w:eastAsia="zh-CN"/>
        </w:rPr>
        <w:t>2024</w:t>
      </w:r>
      <w:r>
        <w:rPr>
          <w:rFonts w:hint="default" w:ascii="Times New Roman" w:hAnsi="Times New Roman" w:eastAsia="仿宋" w:cs="Times New Roman"/>
          <w:color w:val="auto"/>
          <w:kern w:val="0"/>
          <w:sz w:val="36"/>
          <w:szCs w:val="36"/>
          <w:highlight w:val="none"/>
        </w:rPr>
        <w:t>年</w:t>
      </w:r>
      <w:r>
        <w:rPr>
          <w:rFonts w:hint="default" w:ascii="Times New Roman" w:hAnsi="Times New Roman" w:eastAsia="仿宋" w:cs="Times New Roman"/>
          <w:color w:val="auto"/>
          <w:kern w:val="0"/>
          <w:sz w:val="36"/>
          <w:szCs w:val="36"/>
          <w:highlight w:val="none"/>
          <w:lang w:val="en-US" w:eastAsia="zh-CN"/>
        </w:rPr>
        <w:t>4</w:t>
      </w:r>
      <w:r>
        <w:rPr>
          <w:rFonts w:hint="default" w:ascii="Times New Roman" w:hAnsi="Times New Roman" w:eastAsia="仿宋" w:cs="Times New Roman"/>
          <w:color w:val="auto"/>
          <w:kern w:val="0"/>
          <w:sz w:val="36"/>
          <w:szCs w:val="36"/>
          <w:highlight w:val="none"/>
        </w:rPr>
        <w:t>月</w:t>
      </w:r>
      <w:r>
        <w:rPr>
          <w:rFonts w:hint="default" w:ascii="Times New Roman" w:hAnsi="Times New Roman" w:eastAsia="仿宋" w:cs="Times New Roman"/>
          <w:color w:val="auto"/>
          <w:kern w:val="0"/>
          <w:sz w:val="36"/>
          <w:szCs w:val="36"/>
          <w:highlight w:val="none"/>
          <w:lang w:val="en-US" w:eastAsia="zh-CN"/>
        </w:rPr>
        <w:t>28</w:t>
      </w:r>
      <w:r>
        <w:rPr>
          <w:rFonts w:hint="default" w:ascii="Times New Roman" w:hAnsi="Times New Roman" w:eastAsia="仿宋" w:cs="Times New Roman"/>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rPr>
      </w:pPr>
      <w:r>
        <w:rPr>
          <w:rStyle w:val="10"/>
          <w:rFonts w:hint="default" w:ascii="Times New Roman" w:hAnsi="Times New Roman" w:eastAsia="黑体" w:cs="Times New Roman"/>
          <w:b w:val="0"/>
          <w:bCs/>
          <w:color w:val="auto"/>
          <w:spacing w:val="-4"/>
          <w:sz w:val="32"/>
          <w:szCs w:val="32"/>
          <w:highlight w:val="none"/>
          <w:lang w:val="en-US" w:eastAsia="zh-CN"/>
        </w:rPr>
        <w:t>(一)</w:t>
      </w:r>
      <w:r>
        <w:rPr>
          <w:rStyle w:val="10"/>
          <w:rFonts w:hint="default" w:ascii="Times New Roman" w:hAnsi="Times New Roman" w:eastAsia="黑体" w:cs="Times New Roman"/>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1.部门职能</w:t>
      </w:r>
    </w:p>
    <w:p>
      <w:pPr>
        <w:pStyle w:val="13"/>
        <w:spacing w:line="560" w:lineRule="exact"/>
        <w:ind w:firstLine="560"/>
        <w:rPr>
          <w:rStyle w:val="10"/>
          <w:rFonts w:hint="default" w:ascii="Times New Roman" w:hAnsi="Times New Roman" w:eastAsia="仿宋" w:cs="Times New Roman"/>
          <w:b w:val="0"/>
          <w:color w:val="auto"/>
          <w:spacing w:val="-4"/>
          <w:kern w:val="0"/>
          <w:sz w:val="32"/>
          <w:szCs w:val="32"/>
          <w:highlight w:val="none"/>
          <w:lang w:val="en-US" w:eastAsia="zh-CN" w:bidi="ar-SA"/>
        </w:rPr>
      </w:pPr>
      <w:r>
        <w:rPr>
          <w:rStyle w:val="10"/>
          <w:rFonts w:hint="default" w:ascii="Times New Roman" w:hAnsi="Times New Roman" w:eastAsia="仿宋" w:cs="Times New Roman"/>
          <w:b w:val="0"/>
          <w:color w:val="auto"/>
          <w:spacing w:val="-4"/>
          <w:kern w:val="0"/>
          <w:sz w:val="32"/>
          <w:szCs w:val="32"/>
          <w:highlight w:val="none"/>
          <w:lang w:val="en-US" w:eastAsia="zh-CN" w:bidi="ar-SA"/>
        </w:rPr>
        <w:t>负责对全市立档单位的业务指导、和到期移交档案的集中保管；做好档案编研出版、档案员培训工作；负责宣传库尔勒市的历史变迁与发展成就，引导各族干部群众正确认识新疆历史、民族发展史、宗教演变史。</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2.部门机构人员构成情况</w:t>
      </w:r>
    </w:p>
    <w:p>
      <w:pPr>
        <w:pStyle w:val="7"/>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Fonts w:hint="default" w:ascii="Times New Roman" w:hAnsi="Times New Roman" w:eastAsia="仿宋" w:cs="Times New Roman"/>
          <w:color w:val="auto"/>
          <w:kern w:val="2"/>
          <w:sz w:val="32"/>
          <w:szCs w:val="32"/>
          <w:highlight w:val="none"/>
          <w:lang w:val="en-US" w:eastAsia="zh-CN" w:bidi="ar-SA"/>
        </w:rPr>
      </w:pPr>
      <w:r>
        <w:rPr>
          <w:rStyle w:val="10"/>
          <w:rFonts w:hint="default" w:ascii="Times New Roman" w:hAnsi="Times New Roman" w:eastAsia="仿宋" w:cs="Times New Roman"/>
          <w:b w:val="0"/>
          <w:bCs/>
          <w:color w:val="auto"/>
          <w:spacing w:val="-4"/>
          <w:sz w:val="32"/>
          <w:szCs w:val="32"/>
          <w:highlight w:val="none"/>
          <w:lang w:eastAsia="zh-CN"/>
        </w:rPr>
        <w:t>库尔勒市档案馆</w:t>
      </w:r>
      <w:r>
        <w:rPr>
          <w:rFonts w:hint="default" w:ascii="Times New Roman" w:hAnsi="Times New Roman" w:eastAsia="仿宋" w:cs="Times New Roman"/>
          <w:color w:val="auto"/>
          <w:kern w:val="2"/>
          <w:sz w:val="32"/>
          <w:szCs w:val="32"/>
          <w:highlight w:val="none"/>
          <w:lang w:val="en-US" w:eastAsia="zh-CN" w:bidi="ar-SA"/>
        </w:rPr>
        <w:t>编制数</w:t>
      </w:r>
      <w:r>
        <w:rPr>
          <w:rFonts w:hint="default" w:ascii="Times New Roman" w:hAnsi="Times New Roman" w:eastAsia="仿宋" w:cs="Times New Roman"/>
          <w:color w:val="auto"/>
          <w:kern w:val="2"/>
          <w:sz w:val="32"/>
          <w:szCs w:val="32"/>
          <w:highlight w:val="none"/>
          <w:lang w:val="en-US" w:eastAsia="zh-CN" w:bidi="ar-SA"/>
        </w:rPr>
        <w:t>15</w:t>
      </w:r>
      <w:r>
        <w:rPr>
          <w:rFonts w:hint="default" w:ascii="Times New Roman" w:hAnsi="Times New Roman" w:eastAsia="仿宋" w:cs="Times New Roman"/>
          <w:color w:val="auto"/>
          <w:kern w:val="2"/>
          <w:sz w:val="32"/>
          <w:szCs w:val="32"/>
          <w:highlight w:val="none"/>
          <w:lang w:val="en-US" w:eastAsia="zh-CN" w:bidi="ar-SA"/>
        </w:rPr>
        <w:t>人，实有人数</w:t>
      </w:r>
      <w:r>
        <w:rPr>
          <w:rFonts w:hint="default" w:ascii="Times New Roman" w:hAnsi="Times New Roman" w:eastAsia="仿宋" w:cs="Times New Roman"/>
          <w:color w:val="auto"/>
          <w:kern w:val="2"/>
          <w:sz w:val="32"/>
          <w:szCs w:val="32"/>
          <w:highlight w:val="none"/>
          <w:lang w:val="en-US" w:eastAsia="zh-CN" w:bidi="ar-SA"/>
        </w:rPr>
        <w:t>31</w:t>
      </w:r>
      <w:r>
        <w:rPr>
          <w:rFonts w:hint="default" w:ascii="Times New Roman" w:hAnsi="Times New Roman" w:eastAsia="仿宋" w:cs="Times New Roman"/>
          <w:color w:val="auto"/>
          <w:kern w:val="2"/>
          <w:sz w:val="32"/>
          <w:szCs w:val="32"/>
          <w:highlight w:val="none"/>
          <w:lang w:val="en-US" w:eastAsia="zh-CN" w:bidi="ar-SA"/>
        </w:rPr>
        <w:t>人，其中：在职</w:t>
      </w:r>
      <w:r>
        <w:rPr>
          <w:rFonts w:hint="default" w:ascii="Times New Roman" w:hAnsi="Times New Roman" w:eastAsia="仿宋" w:cs="Times New Roman"/>
          <w:color w:val="auto"/>
          <w:kern w:val="2"/>
          <w:sz w:val="32"/>
          <w:szCs w:val="32"/>
          <w:highlight w:val="none"/>
          <w:lang w:val="en-US" w:eastAsia="zh-CN" w:bidi="ar-SA"/>
        </w:rPr>
        <w:t>12</w:t>
      </w:r>
      <w:r>
        <w:rPr>
          <w:rFonts w:hint="default" w:ascii="Times New Roman" w:hAnsi="Times New Roman" w:eastAsia="仿宋" w:cs="Times New Roman"/>
          <w:color w:val="auto"/>
          <w:kern w:val="2"/>
          <w:sz w:val="32"/>
          <w:szCs w:val="32"/>
          <w:highlight w:val="none"/>
          <w:lang w:val="en-US" w:eastAsia="zh-CN" w:bidi="ar-SA"/>
        </w:rPr>
        <w:t>人；退休</w:t>
      </w:r>
      <w:r>
        <w:rPr>
          <w:rFonts w:hint="default" w:ascii="Times New Roman" w:hAnsi="Times New Roman" w:eastAsia="仿宋" w:cs="Times New Roman"/>
          <w:color w:val="auto"/>
          <w:kern w:val="2"/>
          <w:sz w:val="32"/>
          <w:szCs w:val="32"/>
          <w:highlight w:val="none"/>
          <w:lang w:val="en-US" w:eastAsia="zh-CN" w:bidi="ar-SA"/>
        </w:rPr>
        <w:t>19</w:t>
      </w:r>
      <w:r>
        <w:rPr>
          <w:rFonts w:hint="default" w:ascii="Times New Roman" w:hAnsi="Times New Roman" w:eastAsia="仿宋" w:cs="Times New Roman"/>
          <w:color w:val="auto"/>
          <w:kern w:val="2"/>
          <w:sz w:val="32"/>
          <w:szCs w:val="32"/>
          <w:highlight w:val="none"/>
          <w:lang w:val="en-US" w:eastAsia="zh-CN" w:bidi="ar-SA"/>
        </w:rPr>
        <w:t>人；离休</w:t>
      </w:r>
      <w:r>
        <w:rPr>
          <w:rFonts w:hint="default" w:ascii="Times New Roman" w:hAnsi="Times New Roman" w:eastAsia="仿宋" w:cs="Times New Roman"/>
          <w:color w:val="auto"/>
          <w:kern w:val="2"/>
          <w:sz w:val="32"/>
          <w:szCs w:val="32"/>
          <w:highlight w:val="none"/>
          <w:lang w:val="en-US" w:eastAsia="zh-CN" w:bidi="ar-SA"/>
        </w:rPr>
        <w:t>0</w:t>
      </w:r>
      <w:r>
        <w:rPr>
          <w:rFonts w:hint="default" w:ascii="Times New Roman" w:hAnsi="Times New Roman" w:eastAsia="仿宋" w:cs="Times New Roman"/>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1.2023年度工作计划</w:t>
      </w:r>
    </w:p>
    <w:p>
      <w:pPr>
        <w:keepNext w:val="0"/>
        <w:keepLines w:val="0"/>
        <w:pageBreakBefore w:val="0"/>
        <w:widowControl w:val="0"/>
        <w:kinsoku/>
        <w:wordWrap/>
        <w:overflowPunct/>
        <w:topLinePunct w:val="0"/>
        <w:autoSpaceDE/>
        <w:autoSpaceDN/>
        <w:bidi w:val="0"/>
        <w:adjustRightInd w:val="0"/>
        <w:snapToGrid w:val="0"/>
        <w:spacing w:line="580" w:lineRule="exact"/>
        <w:ind w:firstLine="624" w:firstLineChars="200"/>
        <w:jc w:val="both"/>
        <w:textAlignment w:val="auto"/>
        <w:rPr>
          <w:rStyle w:val="10"/>
          <w:rFonts w:hint="default" w:ascii="Times New Roman" w:hAnsi="Times New Roman" w:eastAsia="仿宋" w:cs="Times New Roman"/>
          <w:b w:val="0"/>
          <w:color w:val="auto"/>
          <w:spacing w:val="-4"/>
          <w:kern w:val="0"/>
          <w:sz w:val="32"/>
          <w:szCs w:val="32"/>
          <w:highlight w:val="none"/>
          <w:lang w:val="en-US" w:eastAsia="zh-CN" w:bidi="ar-SA"/>
        </w:rPr>
      </w:pPr>
      <w:r>
        <w:rPr>
          <w:rStyle w:val="10"/>
          <w:rFonts w:hint="eastAsia" w:ascii="Times New Roman" w:hAnsi="Times New Roman" w:eastAsia="仿宋" w:cs="Times New Roman"/>
          <w:b w:val="0"/>
          <w:color w:val="auto"/>
          <w:spacing w:val="-4"/>
          <w:kern w:val="0"/>
          <w:sz w:val="32"/>
          <w:szCs w:val="32"/>
          <w:highlight w:val="none"/>
          <w:lang w:val="en-US" w:eastAsia="zh-CN" w:bidi="ar-SA"/>
        </w:rPr>
        <w:t>1.</w:t>
      </w:r>
      <w:r>
        <w:rPr>
          <w:rStyle w:val="10"/>
          <w:rFonts w:hint="default" w:ascii="Times New Roman" w:hAnsi="Times New Roman" w:eastAsia="仿宋" w:cs="Times New Roman"/>
          <w:b w:val="0"/>
          <w:color w:val="auto"/>
          <w:spacing w:val="-4"/>
          <w:kern w:val="0"/>
          <w:sz w:val="32"/>
          <w:szCs w:val="32"/>
          <w:highlight w:val="none"/>
          <w:lang w:val="en-US" w:eastAsia="zh-CN" w:bidi="ar-SA"/>
        </w:rPr>
        <w:t>认真做好档案事业统计工作。档案馆接收馆藏档案单位数量可达10个以上，各部门单位要按照《全国档案事业统计调查制度》的要求，重点填报2022年度档案工作基本情况、档案归档情况、档案室的面积及设备设施情况、利用人次的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36"/>
        <w:jc w:val="both"/>
        <w:textAlignment w:val="auto"/>
        <w:rPr>
          <w:rStyle w:val="10"/>
          <w:rFonts w:hint="default" w:ascii="Times New Roman" w:hAnsi="Times New Roman" w:eastAsia="仿宋" w:cs="Times New Roman"/>
          <w:b w:val="0"/>
          <w:color w:val="auto"/>
          <w:spacing w:val="-4"/>
          <w:kern w:val="0"/>
          <w:sz w:val="32"/>
          <w:szCs w:val="32"/>
          <w:highlight w:val="none"/>
          <w:lang w:val="en-US" w:eastAsia="zh-CN" w:bidi="ar-SA"/>
        </w:rPr>
      </w:pPr>
      <w:r>
        <w:rPr>
          <w:rStyle w:val="10"/>
          <w:rFonts w:hint="eastAsia" w:ascii="Times New Roman" w:hAnsi="Times New Roman" w:eastAsia="仿宋" w:cs="Times New Roman"/>
          <w:b w:val="0"/>
          <w:color w:val="auto"/>
          <w:spacing w:val="-4"/>
          <w:kern w:val="0"/>
          <w:sz w:val="32"/>
          <w:szCs w:val="32"/>
          <w:highlight w:val="none"/>
          <w:lang w:val="en-US" w:eastAsia="zh-CN" w:bidi="ar-SA"/>
        </w:rPr>
        <w:t>2</w:t>
      </w:r>
      <w:r>
        <w:rPr>
          <w:rStyle w:val="10"/>
          <w:rFonts w:hint="default" w:ascii="Times New Roman" w:hAnsi="Times New Roman" w:eastAsia="仿宋" w:cs="Times New Roman"/>
          <w:b w:val="0"/>
          <w:color w:val="auto"/>
          <w:spacing w:val="-4"/>
          <w:kern w:val="0"/>
          <w:sz w:val="32"/>
          <w:szCs w:val="32"/>
          <w:highlight w:val="none"/>
          <w:lang w:val="en-US" w:eastAsia="zh-CN" w:bidi="ar-SA"/>
        </w:rPr>
        <w:t>. 突出红色资源挖掘保管利用。持续做好红色档案征集工作，丰富档案室红色档案资源，切实将红色档案保护好、利用好。红色教育基地展馆展出次数全年可达4次或者4次以上。</w:t>
      </w:r>
    </w:p>
    <w:p>
      <w:pPr>
        <w:keepNext w:val="0"/>
        <w:keepLines w:val="0"/>
        <w:pageBreakBefore w:val="0"/>
        <w:widowControl w:val="0"/>
        <w:kinsoku/>
        <w:wordWrap/>
        <w:overflowPunct/>
        <w:topLinePunct w:val="0"/>
        <w:autoSpaceDE/>
        <w:autoSpaceDN/>
        <w:bidi w:val="0"/>
        <w:adjustRightInd w:val="0"/>
        <w:snapToGrid w:val="0"/>
        <w:spacing w:line="580" w:lineRule="exact"/>
        <w:ind w:firstLine="624" w:firstLineChars="200"/>
        <w:jc w:val="both"/>
        <w:textAlignment w:val="auto"/>
        <w:rPr>
          <w:rStyle w:val="10"/>
          <w:rFonts w:hint="default" w:ascii="Times New Roman" w:hAnsi="Times New Roman" w:eastAsia="仿宋" w:cs="Times New Roman"/>
          <w:b w:val="0"/>
          <w:color w:val="auto"/>
          <w:spacing w:val="-4"/>
          <w:kern w:val="0"/>
          <w:sz w:val="32"/>
          <w:szCs w:val="32"/>
          <w:highlight w:val="none"/>
          <w:lang w:val="en-US" w:eastAsia="zh-CN" w:bidi="ar-SA"/>
        </w:rPr>
      </w:pPr>
      <w:r>
        <w:rPr>
          <w:rStyle w:val="10"/>
          <w:rFonts w:hint="eastAsia" w:ascii="Times New Roman" w:hAnsi="Times New Roman" w:eastAsia="仿宋" w:cs="Times New Roman"/>
          <w:b w:val="0"/>
          <w:color w:val="auto"/>
          <w:spacing w:val="-4"/>
          <w:kern w:val="0"/>
          <w:sz w:val="32"/>
          <w:szCs w:val="32"/>
          <w:highlight w:val="none"/>
          <w:lang w:val="en-US" w:eastAsia="zh-CN" w:bidi="ar-SA"/>
        </w:rPr>
        <w:t>3</w:t>
      </w:r>
      <w:r>
        <w:rPr>
          <w:rStyle w:val="10"/>
          <w:rFonts w:hint="default" w:ascii="Times New Roman" w:hAnsi="Times New Roman" w:eastAsia="仿宋" w:cs="Times New Roman"/>
          <w:b w:val="0"/>
          <w:color w:val="auto"/>
          <w:spacing w:val="-4"/>
          <w:kern w:val="0"/>
          <w:sz w:val="32"/>
          <w:szCs w:val="32"/>
          <w:highlight w:val="none"/>
          <w:lang w:val="en-US" w:eastAsia="zh-CN" w:bidi="ar-SA"/>
        </w:rPr>
        <w:t>. 大力开展民生档案开发利用。扩大民生档案利用范围，严格按照国家有关规定标准对民生档案和专门档案进行规范化归档整理，为群众提供优质便捷的服务</w:t>
      </w:r>
      <w:r>
        <w:rPr>
          <w:rStyle w:val="10"/>
          <w:rFonts w:hint="eastAsia" w:ascii="Times New Roman" w:hAnsi="Times New Roman" w:eastAsia="仿宋" w:cs="Times New Roman"/>
          <w:b w:val="0"/>
          <w:color w:val="auto"/>
          <w:spacing w:val="-4"/>
          <w:kern w:val="0"/>
          <w:sz w:val="32"/>
          <w:szCs w:val="32"/>
          <w:highlight w:val="none"/>
          <w:lang w:val="en-US" w:eastAsia="zh-CN" w:bidi="ar-SA"/>
        </w:rPr>
        <w:t>，开放馆藏档案数量到达50件以上</w:t>
      </w:r>
      <w:r>
        <w:rPr>
          <w:rStyle w:val="10"/>
          <w:rFonts w:hint="default" w:ascii="Times New Roman" w:hAnsi="Times New Roman" w:eastAsia="仿宋" w:cs="Times New Roman"/>
          <w:b w:val="0"/>
          <w:color w:val="auto"/>
          <w:spacing w:val="-4"/>
          <w:kern w:val="0"/>
          <w:sz w:val="32"/>
          <w:szCs w:val="32"/>
          <w:highlight w:val="none"/>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80" w:lineRule="exact"/>
        <w:ind w:firstLine="624" w:firstLineChars="200"/>
        <w:jc w:val="both"/>
        <w:textAlignment w:val="auto"/>
        <w:rPr>
          <w:rStyle w:val="10"/>
          <w:rFonts w:hint="default" w:ascii="Times New Roman" w:hAnsi="Times New Roman" w:eastAsia="仿宋" w:cs="Times New Roman"/>
          <w:b w:val="0"/>
          <w:color w:val="auto"/>
          <w:spacing w:val="-4"/>
          <w:kern w:val="0"/>
          <w:sz w:val="32"/>
          <w:szCs w:val="32"/>
          <w:highlight w:val="none"/>
          <w:lang w:val="en-US" w:eastAsia="zh-CN" w:bidi="ar-SA"/>
        </w:rPr>
      </w:pPr>
      <w:r>
        <w:rPr>
          <w:rStyle w:val="10"/>
          <w:rFonts w:hint="eastAsia" w:ascii="Times New Roman" w:hAnsi="Times New Roman" w:eastAsia="仿宋" w:cs="Times New Roman"/>
          <w:b w:val="0"/>
          <w:color w:val="auto"/>
          <w:spacing w:val="-4"/>
          <w:kern w:val="0"/>
          <w:sz w:val="32"/>
          <w:szCs w:val="32"/>
          <w:highlight w:val="none"/>
          <w:lang w:val="en-US" w:eastAsia="zh-CN" w:bidi="ar-SA"/>
        </w:rPr>
        <w:t>4. 提升档案公共利用服务水平。</w:t>
      </w:r>
      <w:r>
        <w:rPr>
          <w:rStyle w:val="10"/>
          <w:rFonts w:hint="default" w:ascii="Times New Roman" w:hAnsi="Times New Roman" w:eastAsia="仿宋" w:cs="Times New Roman"/>
          <w:b w:val="0"/>
          <w:color w:val="auto"/>
          <w:spacing w:val="-4"/>
          <w:kern w:val="0"/>
          <w:sz w:val="32"/>
          <w:szCs w:val="32"/>
          <w:highlight w:val="none"/>
          <w:lang w:val="en-US" w:eastAsia="zh-CN" w:bidi="ar-SA"/>
        </w:rPr>
        <w:t>加大《档案法》的学习宣传贯彻，充分利用</w:t>
      </w:r>
      <w:r>
        <w:rPr>
          <w:rStyle w:val="10"/>
          <w:rFonts w:hint="eastAsia" w:ascii="Times New Roman" w:hAnsi="Times New Roman" w:eastAsia="仿宋" w:cs="Times New Roman"/>
          <w:b w:val="0"/>
          <w:color w:val="auto"/>
          <w:spacing w:val="-4"/>
          <w:kern w:val="0"/>
          <w:sz w:val="32"/>
          <w:szCs w:val="32"/>
          <w:highlight w:val="none"/>
          <w:lang w:val="en-US" w:eastAsia="zh-CN" w:bidi="ar-SA"/>
        </w:rPr>
        <w:t>“</w:t>
      </w:r>
      <w:r>
        <w:rPr>
          <w:rStyle w:val="10"/>
          <w:rFonts w:hint="default" w:ascii="Times New Roman" w:hAnsi="Times New Roman" w:eastAsia="仿宋" w:cs="Times New Roman"/>
          <w:b w:val="0"/>
          <w:color w:val="auto"/>
          <w:spacing w:val="-4"/>
          <w:kern w:val="0"/>
          <w:sz w:val="32"/>
          <w:szCs w:val="32"/>
          <w:highlight w:val="none"/>
          <w:lang w:val="en-US" w:eastAsia="zh-CN" w:bidi="ar-SA"/>
        </w:rPr>
        <w:t>6.9</w:t>
      </w:r>
      <w:r>
        <w:rPr>
          <w:rStyle w:val="10"/>
          <w:rFonts w:hint="eastAsia" w:ascii="Times New Roman" w:hAnsi="Times New Roman" w:eastAsia="仿宋" w:cs="Times New Roman"/>
          <w:b w:val="0"/>
          <w:color w:val="auto"/>
          <w:spacing w:val="-4"/>
          <w:kern w:val="0"/>
          <w:sz w:val="32"/>
          <w:szCs w:val="32"/>
          <w:highlight w:val="none"/>
          <w:lang w:val="en-US" w:eastAsia="zh-CN" w:bidi="ar-SA"/>
        </w:rPr>
        <w:t>”</w:t>
      </w:r>
      <w:r>
        <w:rPr>
          <w:rStyle w:val="10"/>
          <w:rFonts w:hint="default" w:ascii="Times New Roman" w:hAnsi="Times New Roman" w:eastAsia="仿宋" w:cs="Times New Roman"/>
          <w:b w:val="0"/>
          <w:color w:val="auto"/>
          <w:spacing w:val="-4"/>
          <w:kern w:val="0"/>
          <w:sz w:val="32"/>
          <w:szCs w:val="32"/>
          <w:highlight w:val="none"/>
          <w:lang w:val="en-US" w:eastAsia="zh-CN" w:bidi="ar-SA"/>
        </w:rPr>
        <w:t>国际档案日和</w:t>
      </w:r>
      <w:r>
        <w:rPr>
          <w:rStyle w:val="10"/>
          <w:rFonts w:hint="eastAsia" w:ascii="Times New Roman" w:hAnsi="Times New Roman" w:eastAsia="仿宋" w:cs="Times New Roman"/>
          <w:b w:val="0"/>
          <w:color w:val="auto"/>
          <w:spacing w:val="-4"/>
          <w:kern w:val="0"/>
          <w:sz w:val="32"/>
          <w:szCs w:val="32"/>
          <w:highlight w:val="none"/>
          <w:lang w:val="en-US" w:eastAsia="zh-CN" w:bidi="ar-SA"/>
        </w:rPr>
        <w:t>“</w:t>
      </w:r>
      <w:r>
        <w:rPr>
          <w:rStyle w:val="10"/>
          <w:rFonts w:hint="default" w:ascii="Times New Roman" w:hAnsi="Times New Roman" w:eastAsia="仿宋" w:cs="Times New Roman"/>
          <w:b w:val="0"/>
          <w:color w:val="auto"/>
          <w:spacing w:val="-4"/>
          <w:kern w:val="0"/>
          <w:sz w:val="32"/>
          <w:szCs w:val="32"/>
          <w:highlight w:val="none"/>
          <w:lang w:val="en-US" w:eastAsia="zh-CN" w:bidi="ar-SA"/>
        </w:rPr>
        <w:t>12.4</w:t>
      </w:r>
      <w:r>
        <w:rPr>
          <w:rStyle w:val="10"/>
          <w:rFonts w:hint="eastAsia" w:ascii="Times New Roman" w:hAnsi="Times New Roman" w:eastAsia="仿宋" w:cs="Times New Roman"/>
          <w:b w:val="0"/>
          <w:color w:val="auto"/>
          <w:spacing w:val="-4"/>
          <w:kern w:val="0"/>
          <w:sz w:val="32"/>
          <w:szCs w:val="32"/>
          <w:highlight w:val="none"/>
          <w:lang w:val="en-US" w:eastAsia="zh-CN" w:bidi="ar-SA"/>
        </w:rPr>
        <w:t>”</w:t>
      </w:r>
      <w:r>
        <w:rPr>
          <w:rStyle w:val="10"/>
          <w:rFonts w:hint="default" w:ascii="Times New Roman" w:hAnsi="Times New Roman" w:eastAsia="仿宋" w:cs="Times New Roman"/>
          <w:b w:val="0"/>
          <w:color w:val="auto"/>
          <w:spacing w:val="-4"/>
          <w:kern w:val="0"/>
          <w:sz w:val="32"/>
          <w:szCs w:val="32"/>
          <w:highlight w:val="none"/>
          <w:lang w:val="en-US" w:eastAsia="zh-CN" w:bidi="ar-SA"/>
        </w:rPr>
        <w:t>法制宣传日，强化档案普法宣传教育，不断提高依法治档水平。及时上报宣传《档案法》的图片、信息。加快推进</w:t>
      </w:r>
      <w:r>
        <w:rPr>
          <w:rStyle w:val="10"/>
          <w:rFonts w:hint="eastAsia" w:ascii="Times New Roman" w:hAnsi="Times New Roman" w:eastAsia="仿宋" w:cs="Times New Roman"/>
          <w:b w:val="0"/>
          <w:color w:val="auto"/>
          <w:spacing w:val="-4"/>
          <w:kern w:val="0"/>
          <w:sz w:val="32"/>
          <w:szCs w:val="32"/>
          <w:highlight w:val="none"/>
          <w:lang w:val="en-US" w:eastAsia="zh-CN" w:bidi="ar-SA"/>
        </w:rPr>
        <w:t>“</w:t>
      </w:r>
      <w:r>
        <w:rPr>
          <w:rStyle w:val="10"/>
          <w:rFonts w:hint="default" w:ascii="Times New Roman" w:hAnsi="Times New Roman" w:eastAsia="仿宋" w:cs="Times New Roman"/>
          <w:b w:val="0"/>
          <w:color w:val="auto"/>
          <w:spacing w:val="-4"/>
          <w:kern w:val="0"/>
          <w:sz w:val="32"/>
          <w:szCs w:val="32"/>
          <w:highlight w:val="none"/>
          <w:lang w:val="en-US" w:eastAsia="zh-CN" w:bidi="ar-SA"/>
        </w:rPr>
        <w:t>存量数字化</w:t>
      </w:r>
      <w:r>
        <w:rPr>
          <w:rStyle w:val="10"/>
          <w:rFonts w:hint="eastAsia" w:ascii="Times New Roman" w:hAnsi="Times New Roman" w:eastAsia="仿宋" w:cs="Times New Roman"/>
          <w:b w:val="0"/>
          <w:color w:val="auto"/>
          <w:spacing w:val="-4"/>
          <w:kern w:val="0"/>
          <w:sz w:val="32"/>
          <w:szCs w:val="32"/>
          <w:highlight w:val="none"/>
          <w:lang w:val="en-US" w:eastAsia="zh-CN" w:bidi="ar-SA"/>
        </w:rPr>
        <w:t>”</w:t>
      </w:r>
      <w:r>
        <w:rPr>
          <w:rStyle w:val="10"/>
          <w:rFonts w:hint="default" w:ascii="Times New Roman" w:hAnsi="Times New Roman" w:eastAsia="仿宋" w:cs="Times New Roman"/>
          <w:b w:val="0"/>
          <w:color w:val="auto"/>
          <w:spacing w:val="-4"/>
          <w:kern w:val="0"/>
          <w:sz w:val="32"/>
          <w:szCs w:val="32"/>
          <w:highlight w:val="none"/>
          <w:lang w:val="en-US" w:eastAsia="zh-CN" w:bidi="ar-SA"/>
        </w:rPr>
        <w:t>，提升室藏档案数字化率。单位建立档案数据库，通过关键字检索工具进行快速查询，方便服务群众。全年提供档案查阅次数可达200余次。</w:t>
      </w:r>
    </w:p>
    <w:p>
      <w:pPr>
        <w:pStyle w:val="4"/>
        <w:pageBreakBefore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highlight w:val="none"/>
          <w:lang w:val="en-US" w:eastAsia="zh-CN"/>
        </w:rPr>
      </w:pPr>
      <w:r>
        <w:rPr>
          <w:rFonts w:hint="default" w:ascii="Times New Roman" w:hAnsi="Times New Roman" w:eastAsia="黑体" w:cs="Times New Roman"/>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eastAsia="zh-CN"/>
        </w:rPr>
        <w:t>库尔勒市档案馆</w:t>
      </w:r>
      <w:r>
        <w:rPr>
          <w:rStyle w:val="10"/>
          <w:rFonts w:hint="default" w:ascii="Times New Roman" w:hAnsi="Times New Roman" w:eastAsia="仿宋" w:cs="Times New Roman"/>
          <w:b w:val="0"/>
          <w:bCs/>
          <w:color w:val="auto"/>
          <w:spacing w:val="-4"/>
          <w:sz w:val="32"/>
          <w:szCs w:val="32"/>
          <w:highlight w:val="none"/>
          <w:lang w:val="en-US" w:eastAsia="zh-CN"/>
        </w:rPr>
        <w:t>2023年通过本部门预算支出，确保了</w:t>
      </w:r>
      <w:r>
        <w:rPr>
          <w:rStyle w:val="10"/>
          <w:rFonts w:hint="eastAsia" w:ascii="Times New Roman" w:hAnsi="Times New Roman" w:eastAsia="仿宋" w:cs="Times New Roman"/>
          <w:b w:val="0"/>
          <w:bCs/>
          <w:color w:val="auto"/>
          <w:spacing w:val="-4"/>
          <w:sz w:val="32"/>
          <w:szCs w:val="32"/>
          <w:highlight w:val="none"/>
          <w:lang w:val="en-US" w:eastAsia="zh-CN"/>
        </w:rPr>
        <w:t>12</w:t>
      </w:r>
      <w:r>
        <w:rPr>
          <w:rStyle w:val="10"/>
          <w:rFonts w:hint="default" w:ascii="Times New Roman" w:hAnsi="Times New Roman" w:eastAsia="仿宋" w:cs="Times New Roman"/>
          <w:b w:val="0"/>
          <w:bCs/>
          <w:color w:val="auto"/>
          <w:spacing w:val="-4"/>
          <w:sz w:val="32"/>
          <w:szCs w:val="32"/>
          <w:highlight w:val="none"/>
          <w:lang w:val="en-US" w:eastAsia="zh-CN"/>
        </w:rPr>
        <w:t>名在职人员的工资、津贴、补贴、社保、绩效、公积金等</w:t>
      </w:r>
      <w:r>
        <w:rPr>
          <w:rStyle w:val="10"/>
          <w:rFonts w:hint="default" w:ascii="Times New Roman" w:hAnsi="Times New Roman" w:eastAsia="仿宋" w:cs="Times New Roman"/>
          <w:b w:val="0"/>
          <w:bCs/>
          <w:color w:val="auto"/>
          <w:spacing w:val="-4"/>
          <w:sz w:val="32"/>
          <w:szCs w:val="32"/>
          <w:highlight w:val="none"/>
          <w:lang w:val="en-US" w:eastAsia="zh-CN"/>
        </w:rPr>
        <w:t>以及1</w:t>
      </w:r>
      <w:r>
        <w:rPr>
          <w:rStyle w:val="10"/>
          <w:rFonts w:hint="eastAsia" w:ascii="Times New Roman" w:hAnsi="Times New Roman" w:eastAsia="仿宋" w:cs="Times New Roman"/>
          <w:b w:val="0"/>
          <w:bCs/>
          <w:color w:val="auto"/>
          <w:spacing w:val="-4"/>
          <w:sz w:val="32"/>
          <w:szCs w:val="32"/>
          <w:highlight w:val="none"/>
          <w:lang w:val="en-US" w:eastAsia="zh-CN"/>
        </w:rPr>
        <w:t>9</w:t>
      </w:r>
      <w:r>
        <w:rPr>
          <w:rStyle w:val="10"/>
          <w:rFonts w:hint="default" w:ascii="Times New Roman" w:hAnsi="Times New Roman" w:eastAsia="仿宋" w:cs="Times New Roman"/>
          <w:b w:val="0"/>
          <w:bCs/>
          <w:color w:val="auto"/>
          <w:spacing w:val="-4"/>
          <w:sz w:val="32"/>
          <w:szCs w:val="32"/>
          <w:highlight w:val="none"/>
          <w:lang w:val="en-US" w:eastAsia="zh-CN"/>
        </w:rPr>
        <w:t>名离退休人员的工资、医疗费等。</w:t>
      </w:r>
      <w:r>
        <w:rPr>
          <w:rStyle w:val="10"/>
          <w:rFonts w:hint="default" w:ascii="Times New Roman" w:hAnsi="Times New Roman" w:eastAsia="仿宋" w:cs="Times New Roman"/>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2023年我部门年初安排预算数为</w:t>
      </w:r>
      <w:r>
        <w:rPr>
          <w:rFonts w:hint="eastAsia" w:ascii="Times New Roman" w:hAnsi="Times New Roman" w:eastAsia="仿宋" w:cs="Times New Roman"/>
          <w:color w:val="auto"/>
          <w:sz w:val="32"/>
          <w:szCs w:val="32"/>
          <w:highlight w:val="none"/>
          <w:lang w:val="en-US" w:eastAsia="zh-CN"/>
        </w:rPr>
        <w:t>247.86</w:t>
      </w:r>
      <w:r>
        <w:rPr>
          <w:rFonts w:hint="default" w:ascii="Times New Roman" w:hAnsi="Times New Roman" w:eastAsia="仿宋" w:cs="Times New Roman"/>
          <w:color w:val="auto"/>
          <w:sz w:val="32"/>
          <w:szCs w:val="32"/>
          <w:highlight w:val="none"/>
          <w:lang w:val="en-US" w:eastAsia="zh-CN"/>
        </w:rPr>
        <w:t>万元，其中：上级安排</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lang w:val="en-US" w:eastAsia="zh-CN"/>
        </w:rPr>
        <w:t>万元，本级安排</w:t>
      </w:r>
      <w:r>
        <w:rPr>
          <w:rFonts w:hint="eastAsia" w:ascii="Times New Roman" w:hAnsi="Times New Roman" w:eastAsia="仿宋" w:cs="Times New Roman"/>
          <w:color w:val="auto"/>
          <w:sz w:val="32"/>
          <w:szCs w:val="32"/>
          <w:highlight w:val="none"/>
          <w:lang w:val="en-US" w:eastAsia="zh-CN"/>
        </w:rPr>
        <w:t>247.86</w:t>
      </w:r>
      <w:r>
        <w:rPr>
          <w:rFonts w:hint="default" w:ascii="Times New Roman" w:hAnsi="Times New Roman" w:eastAsia="仿宋" w:cs="Times New Roman"/>
          <w:color w:val="auto"/>
          <w:sz w:val="32"/>
          <w:szCs w:val="32"/>
          <w:highlight w:val="none"/>
          <w:lang w:val="en-US" w:eastAsia="zh-CN"/>
        </w:rPr>
        <w:t>万元，其他资金</w:t>
      </w:r>
      <w:r>
        <w:rPr>
          <w:rFonts w:hint="default" w:ascii="Times New Roman" w:hAnsi="Times New Roman" w:eastAsia="仿宋" w:cs="Times New Roman"/>
          <w:color w:val="auto"/>
          <w:sz w:val="32"/>
          <w:szCs w:val="32"/>
          <w:highlight w:val="none"/>
          <w:lang w:val="en-US" w:eastAsia="zh-CN"/>
        </w:rPr>
        <w:t>0.00</w:t>
      </w:r>
      <w:r>
        <w:rPr>
          <w:rFonts w:hint="default" w:ascii="Times New Roman" w:hAnsi="Times New Roman" w:eastAsia="仿宋" w:cs="Times New Roman"/>
          <w:color w:val="auto"/>
          <w:sz w:val="32"/>
          <w:szCs w:val="32"/>
          <w:highlight w:val="none"/>
          <w:lang w:val="en-US" w:eastAsia="zh-CN"/>
        </w:rPr>
        <w:t>万元。</w:t>
      </w:r>
    </w:p>
    <w:p>
      <w:pPr>
        <w:pStyle w:val="4"/>
        <w:keepNext/>
        <w:keepLines/>
        <w:pageBreakBefore w:val="0"/>
        <w:widowControl w:val="0"/>
        <w:kinsoku/>
        <w:wordWrap/>
        <w:overflowPunct/>
        <w:topLinePunct w:val="0"/>
        <w:autoSpaceDE/>
        <w:autoSpaceDN/>
        <w:bidi w:val="0"/>
        <w:adjustRightInd/>
        <w:snapToGrid/>
        <w:ind w:firstLine="616" w:firstLineChars="200"/>
        <w:textAlignment w:val="auto"/>
        <w:rPr>
          <w:rFonts w:hint="default" w:ascii="Times New Roman" w:hAnsi="Times New Roman" w:eastAsia="仿宋" w:cs="Times New Roman"/>
          <w:b w:val="0"/>
          <w:bCs w:val="0"/>
          <w:color w:val="auto"/>
          <w:kern w:val="2"/>
          <w:sz w:val="32"/>
          <w:szCs w:val="32"/>
          <w:highlight w:val="none"/>
          <w:lang w:val="en-US" w:eastAsia="zh-CN" w:bidi="ar-SA"/>
        </w:rPr>
      </w:pPr>
      <w:r>
        <w:rPr>
          <w:rFonts w:hint="default" w:ascii="Times New Roman" w:hAnsi="Times New Roman" w:eastAsia="仿宋" w:cs="Times New Roman"/>
          <w:b w:val="0"/>
          <w:bCs w:val="0"/>
          <w:color w:val="auto"/>
          <w:spacing w:val="-6"/>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仿宋" w:cs="Times New Roman"/>
          <w:b w:val="0"/>
          <w:bCs/>
          <w:color w:val="auto"/>
          <w:sz w:val="32"/>
          <w:szCs w:val="32"/>
          <w:highlight w:val="none"/>
          <w:lang w:val="en-US" w:eastAsia="zh-CN"/>
        </w:rPr>
        <w:t>我部门年初安排预算数</w:t>
      </w:r>
      <w:r>
        <w:rPr>
          <w:rFonts w:hint="eastAsia" w:ascii="Times New Roman" w:hAnsi="Times New Roman" w:eastAsia="仿宋" w:cs="Times New Roman"/>
          <w:color w:val="auto"/>
          <w:sz w:val="32"/>
          <w:szCs w:val="32"/>
          <w:highlight w:val="none"/>
          <w:lang w:val="en-US" w:eastAsia="zh-CN"/>
        </w:rPr>
        <w:t>247.86</w:t>
      </w:r>
      <w:r>
        <w:rPr>
          <w:rFonts w:hint="default" w:ascii="Times New Roman" w:hAnsi="Times New Roman" w:eastAsia="仿宋" w:cs="Times New Roman"/>
          <w:b w:val="0"/>
          <w:bCs/>
          <w:color w:val="auto"/>
          <w:sz w:val="32"/>
          <w:szCs w:val="32"/>
          <w:highlight w:val="none"/>
          <w:lang w:val="en-US" w:eastAsia="zh-CN"/>
        </w:rPr>
        <w:t>万元，年中调整数</w:t>
      </w:r>
      <w:r>
        <w:rPr>
          <w:rFonts w:hint="eastAsia" w:ascii="Times New Roman" w:hAnsi="Times New Roman" w:eastAsia="仿宋" w:cs="Times New Roman"/>
          <w:b w:val="0"/>
          <w:bCs/>
          <w:color w:val="auto"/>
          <w:sz w:val="32"/>
          <w:szCs w:val="32"/>
          <w:highlight w:val="none"/>
          <w:lang w:val="en-US" w:eastAsia="zh-CN"/>
        </w:rPr>
        <w:t>-0</w:t>
      </w:r>
      <w:r>
        <w:rPr>
          <w:rFonts w:hint="default" w:ascii="Times New Roman" w:hAnsi="Times New Roman" w:eastAsia="仿宋" w:cs="Times New Roman"/>
          <w:b w:val="0"/>
          <w:bCs/>
          <w:color w:val="auto"/>
          <w:sz w:val="32"/>
          <w:szCs w:val="32"/>
          <w:highlight w:val="none"/>
          <w:lang w:val="en-US" w:eastAsia="zh-CN"/>
        </w:rPr>
        <w:t>.</w:t>
      </w:r>
      <w:r>
        <w:rPr>
          <w:rFonts w:hint="eastAsia" w:ascii="Times New Roman" w:hAnsi="Times New Roman" w:eastAsia="仿宋" w:cs="Times New Roman"/>
          <w:b w:val="0"/>
          <w:bCs/>
          <w:color w:val="auto"/>
          <w:sz w:val="32"/>
          <w:szCs w:val="32"/>
          <w:highlight w:val="none"/>
          <w:lang w:val="en-US" w:eastAsia="zh-CN"/>
        </w:rPr>
        <w:t>32</w:t>
      </w:r>
      <w:r>
        <w:rPr>
          <w:rFonts w:hint="default" w:ascii="Times New Roman" w:hAnsi="Times New Roman" w:eastAsia="仿宋" w:cs="Times New Roman"/>
          <w:b w:val="0"/>
          <w:bCs/>
          <w:color w:val="auto"/>
          <w:sz w:val="32"/>
          <w:szCs w:val="32"/>
          <w:highlight w:val="none"/>
          <w:lang w:val="en-US" w:eastAsia="zh-CN"/>
        </w:rPr>
        <w:t>万元，调整后全年预算数</w:t>
      </w:r>
      <w:r>
        <w:rPr>
          <w:rFonts w:hint="eastAsia" w:ascii="Times New Roman" w:hAnsi="Times New Roman" w:eastAsia="仿宋" w:cs="Times New Roman"/>
          <w:b w:val="0"/>
          <w:bCs/>
          <w:color w:val="auto"/>
          <w:sz w:val="32"/>
          <w:szCs w:val="32"/>
          <w:highlight w:val="none"/>
          <w:lang w:val="en-US" w:eastAsia="zh-CN"/>
        </w:rPr>
        <w:t>247.54</w:t>
      </w:r>
      <w:r>
        <w:rPr>
          <w:rFonts w:hint="default" w:ascii="Times New Roman" w:hAnsi="Times New Roman" w:eastAsia="仿宋" w:cs="Times New Roman"/>
          <w:b w:val="0"/>
          <w:bCs/>
          <w:color w:val="auto"/>
          <w:sz w:val="32"/>
          <w:szCs w:val="32"/>
          <w:highlight w:val="none"/>
          <w:lang w:val="en-US" w:eastAsia="zh-CN"/>
        </w:rPr>
        <w:t>万元，预算调整率</w:t>
      </w:r>
      <w:r>
        <w:rPr>
          <w:rFonts w:hint="eastAsia" w:ascii="Times New Roman" w:hAnsi="Times New Roman" w:eastAsia="仿宋" w:cs="Times New Roman"/>
          <w:b w:val="0"/>
          <w:bCs/>
          <w:color w:val="auto"/>
          <w:sz w:val="32"/>
          <w:szCs w:val="32"/>
          <w:highlight w:val="none"/>
          <w:lang w:val="en-US" w:eastAsia="zh-CN"/>
        </w:rPr>
        <w:t>0.13</w:t>
      </w:r>
      <w:r>
        <w:rPr>
          <w:rFonts w:hint="default"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w:t>
      </w:r>
    </w:p>
    <w:p>
      <w:pPr>
        <w:pStyle w:val="4"/>
        <w:keepNext/>
        <w:keepLines/>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 w:cs="Times New Roman"/>
          <w:b w:val="0"/>
          <w:bCs/>
          <w:color w:val="auto"/>
          <w:kern w:val="2"/>
          <w:sz w:val="32"/>
          <w:szCs w:val="32"/>
          <w:highlight w:val="none"/>
          <w:lang w:val="en-US" w:eastAsia="zh-CN" w:bidi="ar-SA"/>
        </w:rPr>
      </w:pPr>
      <w:r>
        <w:rPr>
          <w:rFonts w:hint="default" w:ascii="Times New Roman" w:hAnsi="Times New Roman" w:eastAsia="仿宋" w:cs="Times New Roman"/>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eastAsia="zh-CN"/>
        </w:rPr>
      </w:pPr>
      <w:r>
        <w:rPr>
          <w:rFonts w:hint="default" w:ascii="Times New Roman" w:hAnsi="Times New Roman" w:eastAsia="黑体" w:cs="Times New Roman"/>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我单位2023年度部门整体支出为</w:t>
      </w:r>
      <w:r>
        <w:rPr>
          <w:rFonts w:hint="eastAsia" w:ascii="Times New Roman" w:hAnsi="Times New Roman" w:eastAsia="仿宋" w:cs="Times New Roman"/>
          <w:b w:val="0"/>
          <w:bCs/>
          <w:color w:val="auto"/>
          <w:sz w:val="32"/>
          <w:szCs w:val="32"/>
          <w:highlight w:val="none"/>
          <w:lang w:val="en-US" w:eastAsia="zh-CN"/>
        </w:rPr>
        <w:t>247.54</w:t>
      </w:r>
      <w:r>
        <w:rPr>
          <w:rFonts w:hint="default" w:ascii="Times New Roman" w:hAnsi="Times New Roman" w:eastAsia="仿宋" w:cs="Times New Roman"/>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（1）基本支出</w:t>
      </w:r>
      <w:r>
        <w:rPr>
          <w:rFonts w:hint="eastAsia" w:ascii="Times New Roman" w:hAnsi="Times New Roman" w:eastAsia="仿宋" w:cs="Times New Roman"/>
          <w:color w:val="auto"/>
          <w:kern w:val="2"/>
          <w:sz w:val="32"/>
          <w:szCs w:val="32"/>
          <w:highlight w:val="none"/>
          <w:lang w:val="en-US" w:eastAsia="zh-CN" w:bidi="ar-SA"/>
        </w:rPr>
        <w:t>240.41</w:t>
      </w:r>
      <w:r>
        <w:rPr>
          <w:rFonts w:hint="default" w:ascii="Times New Roman" w:hAnsi="Times New Roman" w:eastAsia="仿宋" w:cs="Times New Roman"/>
          <w:color w:val="auto"/>
          <w:sz w:val="32"/>
          <w:szCs w:val="32"/>
          <w:highlight w:val="none"/>
          <w:lang w:val="en-US" w:eastAsia="zh-CN"/>
        </w:rPr>
        <w:t>万元，主要用于：</w:t>
      </w:r>
      <w:r>
        <w:rPr>
          <w:rFonts w:hint="default" w:ascii="Times New Roman" w:hAnsi="Times New Roman" w:eastAsia="仿宋" w:cs="Times New Roman"/>
          <w:color w:val="auto"/>
          <w:kern w:val="2"/>
          <w:sz w:val="32"/>
          <w:szCs w:val="32"/>
          <w:highlight w:val="none"/>
          <w:lang w:val="en-US" w:eastAsia="zh-CN" w:bidi="ar-SA"/>
        </w:rPr>
        <w:t>基本工资、津贴补贴、奖金、机关事业单位基本养老保险缴费、职业年金缴费、职工基本医疗保险缴费、</w:t>
      </w:r>
      <w:r>
        <w:rPr>
          <w:rFonts w:hint="default" w:ascii="Times New Roman" w:hAnsi="Times New Roman" w:eastAsia="仿宋" w:cs="Times New Roman"/>
          <w:color w:val="auto"/>
          <w:sz w:val="32"/>
          <w:szCs w:val="32"/>
          <w:highlight w:val="none"/>
          <w:lang w:val="en-US" w:eastAsia="zh-CN"/>
        </w:rPr>
        <w:t>办公费、差旅费、维修（护）费、福利费、</w:t>
      </w:r>
      <w:r>
        <w:rPr>
          <w:rFonts w:hint="default" w:ascii="Times New Roman" w:hAnsi="Times New Roman" w:eastAsia="仿宋" w:cs="Times New Roman"/>
          <w:color w:val="auto"/>
          <w:kern w:val="2"/>
          <w:sz w:val="32"/>
          <w:szCs w:val="32"/>
          <w:highlight w:val="none"/>
          <w:lang w:val="en-US" w:eastAsia="zh-CN" w:bidi="ar-SA"/>
        </w:rPr>
        <w:t>退休费</w:t>
      </w:r>
      <w:r>
        <w:rPr>
          <w:rFonts w:hint="eastAsia" w:ascii="仿宋" w:hAnsi="仿宋" w:eastAsia="仿宋" w:cs="仿宋"/>
          <w:color w:val="auto"/>
          <w:kern w:val="2"/>
          <w:sz w:val="32"/>
          <w:szCs w:val="32"/>
          <w:highlight w:val="none"/>
          <w:lang w:val="en-US" w:eastAsia="zh-CN" w:bidi="ar-SA"/>
        </w:rPr>
        <w:t>，抚恤金等</w:t>
      </w:r>
      <w:r>
        <w:rPr>
          <w:rFonts w:hint="default" w:ascii="Times New Roman" w:hAnsi="Times New Roman" w:eastAsia="仿宋" w:cs="Times New Roman"/>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bidi="ar-SA"/>
        </w:rPr>
        <w:t>（2）项目支出</w:t>
      </w:r>
      <w:r>
        <w:rPr>
          <w:rFonts w:hint="eastAsia" w:ascii="Times New Roman" w:hAnsi="Times New Roman" w:eastAsia="仿宋" w:cs="Times New Roman"/>
          <w:b w:val="0"/>
          <w:bCs/>
          <w:color w:val="auto"/>
          <w:sz w:val="32"/>
          <w:szCs w:val="32"/>
          <w:highlight w:val="none"/>
          <w:lang w:val="en-US" w:eastAsia="zh-CN"/>
        </w:rPr>
        <w:t>7.13</w:t>
      </w:r>
      <w:r>
        <w:rPr>
          <w:rFonts w:hint="default" w:ascii="Times New Roman" w:hAnsi="Times New Roman" w:eastAsia="仿宋" w:cs="Times New Roman"/>
          <w:color w:val="auto"/>
          <w:sz w:val="32"/>
          <w:szCs w:val="32"/>
          <w:highlight w:val="none"/>
          <w:lang w:val="en-US" w:eastAsia="zh-CN"/>
        </w:rPr>
        <w:t>万元，主要用于</w:t>
      </w:r>
      <w:r>
        <w:rPr>
          <w:rFonts w:hint="default" w:ascii="Times New Roman" w:hAnsi="Times New Roman" w:eastAsia="仿宋" w:cs="Times New Roman"/>
          <w:b w:val="0"/>
          <w:bCs w:val="0"/>
          <w:color w:val="auto"/>
          <w:kern w:val="2"/>
          <w:sz w:val="32"/>
          <w:szCs w:val="32"/>
          <w:highlight w:val="none"/>
          <w:lang w:val="en-US" w:eastAsia="zh-CN" w:bidi="ar-SA"/>
        </w:rPr>
        <w:t>部门专项-档案事业费项目</w:t>
      </w:r>
      <w:r>
        <w:rPr>
          <w:rFonts w:hint="eastAsia" w:ascii="Times New Roman" w:hAnsi="Times New Roman" w:eastAsia="仿宋" w:cs="Times New Roman"/>
          <w:b w:val="0"/>
          <w:bCs/>
          <w:color w:val="auto"/>
          <w:sz w:val="32"/>
          <w:szCs w:val="32"/>
          <w:highlight w:val="none"/>
          <w:lang w:val="en-US" w:eastAsia="zh-CN"/>
        </w:rPr>
        <w:t>7.13</w:t>
      </w:r>
      <w:r>
        <w:rPr>
          <w:rFonts w:hint="default" w:ascii="Times New Roman" w:hAnsi="Times New Roman" w:eastAsia="仿宋" w:cs="Times New Roman"/>
          <w:b w:val="0"/>
          <w:bCs w:val="0"/>
          <w:color w:val="auto"/>
          <w:kern w:val="2"/>
          <w:sz w:val="32"/>
          <w:szCs w:val="32"/>
          <w:highlight w:val="none"/>
          <w:lang w:val="en-US" w:eastAsia="zh-CN" w:bidi="ar-SA"/>
        </w:rPr>
        <w:t>万元</w:t>
      </w:r>
      <w:r>
        <w:rPr>
          <w:rFonts w:hint="default" w:ascii="Times New Roman" w:hAnsi="Times New Roman" w:eastAsia="仿宋" w:cs="Times New Roman"/>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仿宋" w:cs="Times New Roman"/>
          <w:b w:val="0"/>
          <w:bCs/>
          <w:color w:val="auto"/>
          <w:sz w:val="32"/>
          <w:szCs w:val="32"/>
          <w:highlight w:val="none"/>
          <w:lang w:val="en-US" w:eastAsia="zh-CN"/>
        </w:rPr>
        <w:t>2023年我部门基本支出年初预算安排</w:t>
      </w:r>
      <w:r>
        <w:rPr>
          <w:rFonts w:hint="eastAsia" w:ascii="Times New Roman" w:hAnsi="Times New Roman" w:eastAsia="仿宋" w:cs="Times New Roman"/>
          <w:b w:val="0"/>
          <w:bCs/>
          <w:color w:val="auto"/>
          <w:sz w:val="32"/>
          <w:szCs w:val="32"/>
          <w:highlight w:val="none"/>
          <w:lang w:val="en-US" w:eastAsia="zh-CN"/>
        </w:rPr>
        <w:t>227.86</w:t>
      </w:r>
      <w:r>
        <w:rPr>
          <w:rFonts w:hint="default" w:ascii="Times New Roman" w:hAnsi="Times New Roman" w:eastAsia="仿宋" w:cs="Times New Roman"/>
          <w:b w:val="0"/>
          <w:bCs/>
          <w:color w:val="auto"/>
          <w:sz w:val="32"/>
          <w:szCs w:val="32"/>
          <w:highlight w:val="none"/>
          <w:lang w:val="en-US" w:eastAsia="zh-CN"/>
        </w:rPr>
        <w:t>万元，全年预算数</w:t>
      </w:r>
      <w:r>
        <w:rPr>
          <w:rFonts w:hint="eastAsia" w:ascii="Times New Roman" w:hAnsi="Times New Roman" w:eastAsia="仿宋" w:cs="Times New Roman"/>
          <w:b w:val="0"/>
          <w:bCs/>
          <w:color w:val="auto"/>
          <w:sz w:val="32"/>
          <w:szCs w:val="32"/>
          <w:highlight w:val="none"/>
          <w:lang w:val="en-US" w:eastAsia="zh-CN"/>
        </w:rPr>
        <w:t>240.41</w:t>
      </w:r>
      <w:r>
        <w:rPr>
          <w:rFonts w:hint="default" w:ascii="Times New Roman" w:hAnsi="Times New Roman" w:eastAsia="仿宋" w:cs="Times New Roman"/>
          <w:b w:val="0"/>
          <w:bCs/>
          <w:color w:val="auto"/>
          <w:sz w:val="32"/>
          <w:szCs w:val="32"/>
          <w:highlight w:val="none"/>
          <w:lang w:val="en-US" w:eastAsia="zh-CN"/>
        </w:rPr>
        <w:t>万元，全年实际支出数</w:t>
      </w:r>
      <w:r>
        <w:rPr>
          <w:rFonts w:hint="eastAsia" w:ascii="Times New Roman" w:hAnsi="Times New Roman" w:eastAsia="仿宋" w:cs="Times New Roman"/>
          <w:b w:val="0"/>
          <w:bCs/>
          <w:color w:val="auto"/>
          <w:sz w:val="32"/>
          <w:szCs w:val="32"/>
          <w:highlight w:val="none"/>
          <w:lang w:val="en-US" w:eastAsia="zh-CN"/>
        </w:rPr>
        <w:t>240.41</w:t>
      </w:r>
      <w:r>
        <w:rPr>
          <w:rFonts w:hint="default" w:ascii="Times New Roman" w:hAnsi="Times New Roman" w:eastAsia="仿宋" w:cs="Times New Roman"/>
          <w:b w:val="0"/>
          <w:bCs/>
          <w:color w:val="auto"/>
          <w:sz w:val="32"/>
          <w:szCs w:val="32"/>
          <w:highlight w:val="none"/>
          <w:lang w:val="en-US" w:eastAsia="zh-CN"/>
        </w:rPr>
        <w:t>万元，其中：人员经费</w:t>
      </w:r>
      <w:r>
        <w:rPr>
          <w:rFonts w:hint="eastAsia" w:ascii="Times New Roman" w:hAnsi="Times New Roman" w:eastAsia="仿宋" w:cs="Times New Roman"/>
          <w:b w:val="0"/>
          <w:bCs/>
          <w:color w:val="auto"/>
          <w:sz w:val="32"/>
          <w:szCs w:val="32"/>
          <w:highlight w:val="none"/>
          <w:lang w:val="en-US" w:eastAsia="zh-CN"/>
        </w:rPr>
        <w:t>237.11</w:t>
      </w:r>
      <w:r>
        <w:rPr>
          <w:rFonts w:hint="default" w:ascii="Times New Roman" w:hAnsi="Times New Roman" w:eastAsia="仿宋" w:cs="Times New Roman"/>
          <w:b w:val="0"/>
          <w:bCs/>
          <w:color w:val="auto"/>
          <w:sz w:val="32"/>
          <w:szCs w:val="32"/>
          <w:highlight w:val="none"/>
          <w:lang w:val="en-US" w:eastAsia="zh-CN"/>
        </w:rPr>
        <w:t>万元，公用经费</w:t>
      </w:r>
      <w:r>
        <w:rPr>
          <w:rFonts w:hint="eastAsia" w:ascii="Times New Roman" w:hAnsi="Times New Roman" w:eastAsia="仿宋" w:cs="Times New Roman"/>
          <w:b w:val="0"/>
          <w:bCs/>
          <w:color w:val="auto"/>
          <w:sz w:val="32"/>
          <w:szCs w:val="32"/>
          <w:highlight w:val="none"/>
          <w:lang w:val="en-US" w:eastAsia="zh-CN"/>
        </w:rPr>
        <w:t>3.30</w:t>
      </w:r>
      <w:r>
        <w:rPr>
          <w:rFonts w:hint="default" w:ascii="Times New Roman" w:hAnsi="Times New Roman" w:eastAsia="仿宋" w:cs="Times New Roman"/>
          <w:b w:val="0"/>
          <w:bCs/>
          <w:color w:val="auto"/>
          <w:sz w:val="32"/>
          <w:szCs w:val="32"/>
          <w:highlight w:val="none"/>
          <w:lang w:val="en-US" w:eastAsia="zh-CN"/>
        </w:rPr>
        <w:t>万元。全年预算执行率</w:t>
      </w:r>
      <w:r>
        <w:rPr>
          <w:rFonts w:hint="default" w:ascii="Times New Roman" w:hAnsi="Times New Roman" w:eastAsia="仿宋" w:cs="Times New Roman"/>
          <w:b w:val="0"/>
          <w:bCs/>
          <w:color w:val="auto"/>
          <w:sz w:val="32"/>
          <w:szCs w:val="32"/>
          <w:highlight w:val="none"/>
          <w:lang w:val="en-US" w:eastAsia="zh-CN"/>
        </w:rPr>
        <w:t>100</w:t>
      </w:r>
      <w:r>
        <w:rPr>
          <w:rFonts w:hint="eastAsia" w:ascii="Times New Roman" w:hAnsi="Times New Roman" w:eastAsia="仿宋" w:cs="Times New Roman"/>
          <w:b w:val="0"/>
          <w:bCs/>
          <w:color w:val="auto"/>
          <w:sz w:val="32"/>
          <w:szCs w:val="32"/>
          <w:highlight w:val="none"/>
          <w:lang w:val="en-US" w:eastAsia="zh-CN"/>
        </w:rPr>
        <w:t>.00</w:t>
      </w:r>
      <w:r>
        <w:rPr>
          <w:rFonts w:hint="default" w:ascii="Times New Roman" w:hAnsi="Times New Roman" w:eastAsia="仿宋" w:cs="Times New Roman"/>
          <w:b w:val="0"/>
          <w:bCs/>
          <w:color w:val="auto"/>
          <w:sz w:val="32"/>
          <w:szCs w:val="32"/>
          <w:highlight w:val="none"/>
          <w:lang w:val="en-US" w:eastAsia="zh-CN"/>
        </w:rPr>
        <w:t>%</w:t>
      </w:r>
      <w:r>
        <w:rPr>
          <w:rFonts w:hint="default" w:ascii="Times New Roman" w:hAnsi="Times New Roman" w:eastAsia="仿宋" w:cs="Times New Roman"/>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b w:val="0"/>
          <w:bCs/>
          <w:color w:val="auto"/>
          <w:sz w:val="32"/>
          <w:szCs w:val="32"/>
          <w:highlight w:val="none"/>
          <w:lang w:val="en-US" w:eastAsia="zh-CN"/>
        </w:rPr>
      </w:pPr>
      <w:r>
        <w:rPr>
          <w:rFonts w:hint="default" w:ascii="Times New Roman" w:hAnsi="Times New Roman" w:eastAsia="仿宋" w:cs="Times New Roman"/>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default" w:ascii="Times New Roman" w:hAnsi="Times New Roman" w:eastAsia="仿宋" w:cs="Times New Roman"/>
          <w:b w:val="0"/>
          <w:bCs/>
          <w:color w:val="auto"/>
          <w:sz w:val="32"/>
          <w:szCs w:val="32"/>
          <w:highlight w:val="none"/>
          <w:lang w:val="en-US" w:eastAsia="zh-CN"/>
        </w:rPr>
        <w:t>办公费、邮电费、差旅费、维修（护）费、劳务费、车辆运行维护费等。公务用车运行维护费主要用于单位车辆加油、维修及购买车辆保险。</w:t>
      </w:r>
    </w:p>
    <w:p>
      <w:pPr>
        <w:pStyle w:val="4"/>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val="0"/>
          <w:color w:val="auto"/>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rPr>
        <w:t>2023年本单位共安排</w:t>
      </w:r>
      <w:r>
        <w:rPr>
          <w:rFonts w:hint="eastAsia" w:ascii="Times New Roman" w:hAnsi="Times New Roman" w:eastAsia="仿宋" w:cs="Times New Roman"/>
          <w:color w:val="auto"/>
          <w:kern w:val="2"/>
          <w:sz w:val="32"/>
          <w:szCs w:val="32"/>
          <w:highlight w:val="none"/>
          <w:lang w:val="en-US" w:eastAsia="zh-CN"/>
        </w:rPr>
        <w:t>1</w:t>
      </w:r>
      <w:r>
        <w:rPr>
          <w:rFonts w:hint="default" w:ascii="Times New Roman" w:hAnsi="Times New Roman" w:eastAsia="仿宋" w:cs="Times New Roman"/>
          <w:color w:val="auto"/>
          <w:kern w:val="2"/>
          <w:sz w:val="32"/>
          <w:szCs w:val="32"/>
          <w:highlight w:val="none"/>
          <w:lang w:val="en-US" w:eastAsia="zh-CN"/>
        </w:rPr>
        <w:t>个项目，全年预算数为</w:t>
      </w:r>
      <w:r>
        <w:rPr>
          <w:rFonts w:hint="eastAsia" w:ascii="Times New Roman" w:hAnsi="Times New Roman" w:eastAsia="仿宋" w:cs="Times New Roman"/>
          <w:b w:val="0"/>
          <w:bCs/>
          <w:color w:val="auto"/>
          <w:sz w:val="32"/>
          <w:szCs w:val="32"/>
          <w:highlight w:val="none"/>
          <w:lang w:val="en-US" w:eastAsia="zh-CN"/>
        </w:rPr>
        <w:t>7.13</w:t>
      </w:r>
      <w:r>
        <w:rPr>
          <w:rFonts w:hint="default" w:ascii="Times New Roman" w:hAnsi="Times New Roman" w:eastAsia="仿宋" w:cs="Times New Roman"/>
          <w:color w:val="auto"/>
          <w:kern w:val="2"/>
          <w:sz w:val="32"/>
          <w:szCs w:val="32"/>
          <w:highlight w:val="none"/>
          <w:lang w:val="en-US" w:eastAsia="zh-CN"/>
        </w:rPr>
        <w:t>万元，全年实际支出数</w:t>
      </w:r>
      <w:r>
        <w:rPr>
          <w:rFonts w:hint="eastAsia" w:ascii="Times New Roman" w:hAnsi="Times New Roman" w:eastAsia="仿宋" w:cs="Times New Roman"/>
          <w:b w:val="0"/>
          <w:bCs/>
          <w:color w:val="auto"/>
          <w:sz w:val="32"/>
          <w:szCs w:val="32"/>
          <w:highlight w:val="none"/>
          <w:lang w:val="en-US" w:eastAsia="zh-CN"/>
        </w:rPr>
        <w:t>7.13</w:t>
      </w:r>
      <w:r>
        <w:rPr>
          <w:rFonts w:hint="default" w:ascii="Times New Roman" w:hAnsi="Times New Roman" w:eastAsia="仿宋" w:cs="Times New Roman"/>
          <w:color w:val="auto"/>
          <w:kern w:val="2"/>
          <w:sz w:val="32"/>
          <w:szCs w:val="32"/>
          <w:highlight w:val="none"/>
          <w:lang w:val="en-US" w:eastAsia="zh-CN"/>
        </w:rPr>
        <w:t>万元，执行率</w:t>
      </w:r>
      <w:r>
        <w:rPr>
          <w:rFonts w:hint="default" w:ascii="Times New Roman" w:hAnsi="Times New Roman" w:eastAsia="仿宋" w:cs="Times New Roman"/>
          <w:color w:val="auto"/>
          <w:kern w:val="2"/>
          <w:sz w:val="32"/>
          <w:szCs w:val="32"/>
          <w:highlight w:val="none"/>
          <w:lang w:val="en-US" w:eastAsia="zh-CN"/>
        </w:rPr>
        <w:t>100</w:t>
      </w:r>
      <w:r>
        <w:rPr>
          <w:rFonts w:hint="default" w:ascii="Times New Roman" w:hAnsi="Times New Roman" w:eastAsia="仿宋" w:cs="Times New Roman"/>
          <w:color w:val="auto"/>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rPr>
        <w:t>其中:上级安排项目</w:t>
      </w:r>
      <w:r>
        <w:rPr>
          <w:rFonts w:hint="default" w:ascii="Times New Roman" w:hAnsi="Times New Roman" w:eastAsia="仿宋" w:cs="Times New Roman"/>
          <w:color w:val="auto"/>
          <w:kern w:val="2"/>
          <w:sz w:val="32"/>
          <w:szCs w:val="32"/>
          <w:highlight w:val="none"/>
          <w:lang w:val="en-US" w:eastAsia="zh-CN"/>
        </w:rPr>
        <w:t>0个0.00</w:t>
      </w:r>
      <w:r>
        <w:rPr>
          <w:rFonts w:hint="default" w:ascii="Times New Roman" w:hAnsi="Times New Roman" w:eastAsia="仿宋" w:cs="Times New Roman"/>
          <w:color w:val="auto"/>
          <w:kern w:val="2"/>
          <w:sz w:val="32"/>
          <w:szCs w:val="32"/>
          <w:highlight w:val="none"/>
          <w:lang w:val="en-US" w:eastAsia="zh-CN"/>
        </w:rPr>
        <w:t>万元，本级安排项目</w:t>
      </w:r>
      <w:r>
        <w:rPr>
          <w:rFonts w:hint="eastAsia" w:ascii="Times New Roman" w:hAnsi="Times New Roman" w:eastAsia="仿宋" w:cs="Times New Roman"/>
          <w:color w:val="auto"/>
          <w:kern w:val="2"/>
          <w:sz w:val="32"/>
          <w:szCs w:val="32"/>
          <w:highlight w:val="none"/>
          <w:lang w:val="en-US" w:eastAsia="zh-CN"/>
        </w:rPr>
        <w:t>1</w:t>
      </w:r>
      <w:r>
        <w:rPr>
          <w:rFonts w:hint="default" w:ascii="Times New Roman" w:hAnsi="Times New Roman" w:eastAsia="仿宋" w:cs="Times New Roman"/>
          <w:color w:val="auto"/>
          <w:kern w:val="2"/>
          <w:sz w:val="32"/>
          <w:szCs w:val="32"/>
          <w:highlight w:val="none"/>
          <w:lang w:val="en-US" w:eastAsia="zh-CN"/>
        </w:rPr>
        <w:t>个</w:t>
      </w:r>
      <w:r>
        <w:rPr>
          <w:rFonts w:hint="eastAsia" w:ascii="Times New Roman" w:hAnsi="Times New Roman" w:eastAsia="仿宋" w:cs="Times New Roman"/>
          <w:b w:val="0"/>
          <w:bCs/>
          <w:color w:val="auto"/>
          <w:sz w:val="32"/>
          <w:szCs w:val="32"/>
          <w:highlight w:val="none"/>
          <w:lang w:val="en-US" w:eastAsia="zh-CN"/>
        </w:rPr>
        <w:t>7.13</w:t>
      </w:r>
      <w:r>
        <w:rPr>
          <w:rFonts w:hint="default" w:ascii="Times New Roman" w:hAnsi="Times New Roman" w:eastAsia="仿宋" w:cs="Times New Roman"/>
          <w:color w:val="auto"/>
          <w:kern w:val="2"/>
          <w:sz w:val="32"/>
          <w:szCs w:val="32"/>
          <w:highlight w:val="none"/>
          <w:lang w:val="en-US" w:eastAsia="zh-CN"/>
        </w:rPr>
        <w:t>万元,其他资金安排项目</w:t>
      </w:r>
      <w:r>
        <w:rPr>
          <w:rFonts w:hint="default" w:ascii="Times New Roman" w:hAnsi="Times New Roman" w:eastAsia="仿宋" w:cs="Times New Roman"/>
          <w:color w:val="auto"/>
          <w:kern w:val="2"/>
          <w:sz w:val="32"/>
          <w:szCs w:val="32"/>
          <w:highlight w:val="none"/>
          <w:lang w:val="en-US" w:eastAsia="zh-CN"/>
        </w:rPr>
        <w:t>0个0.00</w:t>
      </w:r>
      <w:r>
        <w:rPr>
          <w:rFonts w:hint="default" w:ascii="Times New Roman" w:hAnsi="Times New Roman" w:eastAsia="仿宋" w:cs="Times New Roman"/>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b w:val="0"/>
          <w:bCs/>
          <w:color w:val="auto"/>
          <w:sz w:val="32"/>
          <w:szCs w:val="32"/>
          <w:highlight w:val="none"/>
          <w:lang w:val="en-US" w:eastAsia="zh-CN"/>
        </w:rPr>
      </w:pPr>
      <w:r>
        <w:rPr>
          <w:rFonts w:hint="default" w:ascii="Times New Roman" w:hAnsi="Times New Roman" w:eastAsia="黑体" w:cs="Times New Roman"/>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 w:cs="Times New Roman"/>
          <w:color w:val="auto"/>
          <w:kern w:val="2"/>
          <w:sz w:val="32"/>
          <w:szCs w:val="32"/>
          <w:highlight w:val="none"/>
          <w:lang w:val="en-US" w:eastAsia="zh-CN" w:bidi="ar-SA"/>
        </w:rPr>
      </w:pPr>
      <w:r>
        <w:rPr>
          <w:rFonts w:hint="default" w:ascii="Times New Roman" w:hAnsi="Times New Roman" w:eastAsia="仿宋" w:cs="Times New Roman"/>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 w:cs="Times New Roman"/>
          <w:b w:val="0"/>
          <w:bCs w:val="0"/>
          <w:color w:val="auto"/>
          <w:sz w:val="32"/>
          <w:szCs w:val="32"/>
          <w:highlight w:val="none"/>
          <w:lang w:val="en-US" w:eastAsia="zh-CN"/>
        </w:rPr>
      </w:pPr>
      <w:r>
        <w:rPr>
          <w:rFonts w:hint="default" w:ascii="Times New Roman" w:hAnsi="Times New Roman" w:eastAsia="仿宋" w:cs="Times New Roman"/>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0"/>
          <w:rFonts w:hint="default" w:ascii="Times New Roman" w:hAnsi="Times New Roman" w:eastAsia="仿宋_GB2312" w:cs="Times New Roman"/>
          <w:b w:val="0"/>
          <w:color w:val="auto"/>
          <w:spacing w:val="-4"/>
          <w:sz w:val="32"/>
          <w:szCs w:val="32"/>
          <w:highlight w:val="none"/>
          <w:lang w:val="en-US" w:eastAsia="zh-CN"/>
        </w:rPr>
      </w:pPr>
      <w:r>
        <w:rPr>
          <w:rFonts w:hint="default" w:ascii="Times New Roman" w:hAnsi="Times New Roman" w:eastAsia="黑体" w:cs="Times New Roman"/>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我单位将部门单位整体绩效目标细化分解为具体的绩效指标，一级指标共</w:t>
      </w:r>
      <w:r>
        <w:rPr>
          <w:rStyle w:val="10"/>
          <w:rFonts w:hint="default" w:ascii="Times New Roman" w:hAnsi="Times New Roman" w:eastAsia="仿宋" w:cs="Times New Roman"/>
          <w:b w:val="0"/>
          <w:color w:val="auto"/>
          <w:spacing w:val="-4"/>
          <w:sz w:val="32"/>
          <w:szCs w:val="32"/>
          <w:highlight w:val="none"/>
          <w:lang w:val="en-US" w:eastAsia="zh-CN"/>
        </w:rPr>
        <w:t>1</w:t>
      </w:r>
      <w:r>
        <w:rPr>
          <w:rStyle w:val="10"/>
          <w:rFonts w:hint="default" w:ascii="Times New Roman" w:hAnsi="Times New Roman" w:eastAsia="仿宋" w:cs="Times New Roman"/>
          <w:b w:val="0"/>
          <w:color w:val="auto"/>
          <w:spacing w:val="-4"/>
          <w:sz w:val="32"/>
          <w:szCs w:val="32"/>
          <w:highlight w:val="none"/>
          <w:lang w:val="en-US" w:eastAsia="zh-CN"/>
        </w:rPr>
        <w:t>条，二级指标共</w:t>
      </w:r>
      <w:r>
        <w:rPr>
          <w:rStyle w:val="10"/>
          <w:rFonts w:hint="default" w:ascii="Times New Roman" w:hAnsi="Times New Roman" w:eastAsia="仿宋" w:cs="Times New Roman"/>
          <w:b w:val="0"/>
          <w:color w:val="auto"/>
          <w:spacing w:val="-4"/>
          <w:sz w:val="32"/>
          <w:szCs w:val="32"/>
          <w:highlight w:val="none"/>
          <w:lang w:val="en-US" w:eastAsia="zh-CN"/>
        </w:rPr>
        <w:t>1</w:t>
      </w:r>
      <w:r>
        <w:rPr>
          <w:rStyle w:val="10"/>
          <w:rFonts w:hint="default" w:ascii="Times New Roman" w:hAnsi="Times New Roman" w:eastAsia="仿宋" w:cs="Times New Roman"/>
          <w:b w:val="0"/>
          <w:color w:val="auto"/>
          <w:spacing w:val="-4"/>
          <w:sz w:val="32"/>
          <w:szCs w:val="32"/>
          <w:highlight w:val="none"/>
          <w:lang w:val="en-US" w:eastAsia="zh-CN"/>
        </w:rPr>
        <w:t>条，三级指标共</w:t>
      </w:r>
      <w:r>
        <w:rPr>
          <w:rStyle w:val="10"/>
          <w:rFonts w:hint="default" w:ascii="Times New Roman" w:hAnsi="Times New Roman" w:eastAsia="仿宋" w:cs="Times New Roman"/>
          <w:b w:val="0"/>
          <w:color w:val="auto"/>
          <w:spacing w:val="-4"/>
          <w:sz w:val="32"/>
          <w:szCs w:val="32"/>
          <w:highlight w:val="none"/>
          <w:lang w:val="en-US" w:eastAsia="zh-CN"/>
        </w:rPr>
        <w:t>4</w:t>
      </w:r>
      <w:r>
        <w:rPr>
          <w:rStyle w:val="10"/>
          <w:rFonts w:hint="default" w:ascii="Times New Roman" w:hAnsi="Times New Roman" w:eastAsia="仿宋" w:cs="Times New Roman"/>
          <w:b w:val="0"/>
          <w:color w:val="auto"/>
          <w:spacing w:val="-4"/>
          <w:sz w:val="32"/>
          <w:szCs w:val="32"/>
          <w:highlight w:val="none"/>
          <w:lang w:val="en-US" w:eastAsia="zh-CN"/>
        </w:rPr>
        <w:t>条，其中量化指标条数共</w:t>
      </w:r>
      <w:r>
        <w:rPr>
          <w:rStyle w:val="10"/>
          <w:rFonts w:hint="default" w:ascii="Times New Roman" w:hAnsi="Times New Roman" w:eastAsia="仿宋" w:cs="Times New Roman"/>
          <w:b w:val="0"/>
          <w:color w:val="auto"/>
          <w:spacing w:val="-4"/>
          <w:sz w:val="32"/>
          <w:szCs w:val="32"/>
          <w:highlight w:val="none"/>
          <w:lang w:val="en-US" w:eastAsia="zh-CN"/>
        </w:rPr>
        <w:t>4</w:t>
      </w:r>
      <w:r>
        <w:rPr>
          <w:rStyle w:val="10"/>
          <w:rFonts w:hint="default" w:ascii="Times New Roman" w:hAnsi="Times New Roman" w:eastAsia="仿宋" w:cs="Times New Roman"/>
          <w:b w:val="0"/>
          <w:color w:val="auto"/>
          <w:spacing w:val="-4"/>
          <w:sz w:val="32"/>
          <w:szCs w:val="32"/>
          <w:highlight w:val="none"/>
          <w:lang w:val="en-US" w:eastAsia="zh-CN"/>
        </w:rPr>
        <w:t>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数量指标1：开放馆藏档案数量，预期指标值为：&gt;=50件；监控节点完成值：=</w:t>
      </w:r>
      <w:r>
        <w:rPr>
          <w:rStyle w:val="10"/>
          <w:rFonts w:hint="eastAsia" w:ascii="Times New Roman" w:hAnsi="Times New Roman" w:eastAsia="仿宋" w:cs="Times New Roman"/>
          <w:b w:val="0"/>
          <w:color w:val="auto"/>
          <w:spacing w:val="-4"/>
          <w:sz w:val="32"/>
          <w:szCs w:val="32"/>
          <w:highlight w:val="none"/>
          <w:lang w:val="en-US" w:eastAsia="zh-CN"/>
        </w:rPr>
        <w:t>45</w:t>
      </w:r>
      <w:r>
        <w:rPr>
          <w:rStyle w:val="10"/>
          <w:rFonts w:hint="default" w:ascii="Times New Roman" w:hAnsi="Times New Roman" w:eastAsia="仿宋" w:cs="Times New Roman"/>
          <w:b w:val="0"/>
          <w:color w:val="auto"/>
          <w:spacing w:val="-4"/>
          <w:sz w:val="32"/>
          <w:szCs w:val="32"/>
          <w:highlight w:val="none"/>
          <w:lang w:val="en-US" w:eastAsia="zh-CN"/>
        </w:rPr>
        <w:t>件；评价实际完成值：=70件；指标完成率：100.00%；成效分析：</w:t>
      </w:r>
      <w:r>
        <w:rPr>
          <w:rStyle w:val="10"/>
          <w:rFonts w:hint="default" w:ascii="Times New Roman" w:hAnsi="Times New Roman" w:eastAsia="仿宋" w:cs="Times New Roman"/>
          <w:b w:val="0"/>
          <w:bCs/>
          <w:color w:val="auto"/>
          <w:spacing w:val="-4"/>
          <w:sz w:val="32"/>
          <w:szCs w:val="32"/>
          <w:highlight w:val="none"/>
          <w:lang w:val="en-US" w:eastAsia="zh-CN"/>
        </w:rPr>
        <w:t>通过单位正常运转</w:t>
      </w:r>
      <w:r>
        <w:rPr>
          <w:rStyle w:val="10"/>
          <w:rFonts w:hint="default" w:ascii="Times New Roman" w:hAnsi="Times New Roman" w:eastAsia="仿宋" w:cs="Times New Roman"/>
          <w:b w:val="0"/>
          <w:color w:val="auto"/>
          <w:spacing w:val="-4"/>
          <w:sz w:val="32"/>
          <w:szCs w:val="32"/>
          <w:highlight w:val="none"/>
          <w:lang w:val="en-US" w:eastAsia="zh-CN"/>
        </w:rPr>
        <w:t>，提高了</w:t>
      </w:r>
      <w:r>
        <w:rPr>
          <w:rStyle w:val="10"/>
          <w:rFonts w:hint="eastAsia" w:ascii="Times New Roman" w:hAnsi="Times New Roman" w:eastAsia="仿宋" w:cs="Times New Roman"/>
          <w:b w:val="0"/>
          <w:color w:val="auto"/>
          <w:spacing w:val="-4"/>
          <w:sz w:val="32"/>
          <w:szCs w:val="32"/>
          <w:highlight w:val="none"/>
          <w:lang w:val="en-US" w:eastAsia="zh-CN"/>
        </w:rPr>
        <w:t>馆藏档案利用</w:t>
      </w:r>
      <w:r>
        <w:rPr>
          <w:rStyle w:val="10"/>
          <w:rFonts w:hint="default" w:ascii="Times New Roman" w:hAnsi="Times New Roman" w:eastAsia="仿宋" w:cs="Times New Roman"/>
          <w:b w:val="0"/>
          <w:color w:val="auto"/>
          <w:spacing w:val="-4"/>
          <w:sz w:val="32"/>
          <w:szCs w:val="32"/>
          <w:highlight w:val="none"/>
          <w:lang w:val="en-US" w:eastAsia="zh-CN"/>
        </w:rPr>
        <w:t>率</w:t>
      </w:r>
      <w:r>
        <w:rPr>
          <w:rStyle w:val="10"/>
          <w:rFonts w:hint="eastAsia" w:ascii="Times New Roman" w:hAnsi="Times New Roman" w:eastAsia="仿宋" w:cs="Times New Roman"/>
          <w:b w:val="0"/>
          <w:color w:val="auto"/>
          <w:spacing w:val="-4"/>
          <w:sz w:val="32"/>
          <w:szCs w:val="32"/>
          <w:highlight w:val="none"/>
          <w:lang w:val="en-US" w:eastAsia="zh-CN"/>
        </w:rPr>
        <w:t>。</w:t>
      </w:r>
    </w:p>
    <w:p>
      <w:pPr>
        <w:pStyle w:val="4"/>
        <w:keepNext/>
        <w:keepLines/>
        <w:pageBreakBefore w:val="0"/>
        <w:widowControl w:val="0"/>
        <w:kinsoku/>
        <w:wordWrap/>
        <w:overflowPunct/>
        <w:topLinePunct w:val="0"/>
        <w:autoSpaceDE/>
        <w:autoSpaceDN/>
        <w:bidi w:val="0"/>
        <w:adjustRightInd/>
        <w:snapToGrid/>
        <w:ind w:firstLine="624" w:firstLineChars="200"/>
        <w:textAlignment w:val="auto"/>
        <w:rPr>
          <w:rStyle w:val="10"/>
          <w:rFonts w:hint="eastAsia" w:ascii="Times New Roman" w:hAnsi="Times New Roman" w:eastAsia="方正仿宋_GBK"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数量指标2：红色教育基地展馆展出次数，预期指标值为：&gt;=4次；监控节点完成值：=</w:t>
      </w:r>
      <w:r>
        <w:rPr>
          <w:rStyle w:val="10"/>
          <w:rFonts w:hint="eastAsia" w:ascii="Times New Roman" w:hAnsi="Times New Roman" w:eastAsia="仿宋" w:cs="Times New Roman"/>
          <w:b w:val="0"/>
          <w:bCs/>
          <w:color w:val="auto"/>
          <w:spacing w:val="-4"/>
          <w:sz w:val="32"/>
          <w:szCs w:val="32"/>
          <w:highlight w:val="none"/>
          <w:lang w:val="en-US" w:eastAsia="zh-CN"/>
        </w:rPr>
        <w:t>3</w:t>
      </w:r>
      <w:r>
        <w:rPr>
          <w:rStyle w:val="10"/>
          <w:rFonts w:hint="default" w:ascii="Times New Roman" w:hAnsi="Times New Roman" w:eastAsia="仿宋" w:cs="Times New Roman"/>
          <w:b w:val="0"/>
          <w:bCs/>
          <w:color w:val="auto"/>
          <w:spacing w:val="-4"/>
          <w:sz w:val="32"/>
          <w:szCs w:val="32"/>
          <w:highlight w:val="none"/>
          <w:lang w:val="en-US" w:eastAsia="zh-CN"/>
        </w:rPr>
        <w:t>次；评价实际完成值：=</w:t>
      </w:r>
      <w:r>
        <w:rPr>
          <w:rStyle w:val="10"/>
          <w:rFonts w:hint="eastAsia" w:ascii="Times New Roman" w:hAnsi="Times New Roman" w:eastAsia="仿宋" w:cs="Times New Roman"/>
          <w:b w:val="0"/>
          <w:bCs/>
          <w:color w:val="auto"/>
          <w:spacing w:val="-4"/>
          <w:sz w:val="32"/>
          <w:szCs w:val="32"/>
          <w:highlight w:val="none"/>
          <w:lang w:val="en-US" w:eastAsia="zh-CN"/>
        </w:rPr>
        <w:t>7</w:t>
      </w:r>
      <w:r>
        <w:rPr>
          <w:rStyle w:val="10"/>
          <w:rFonts w:hint="default" w:ascii="Times New Roman" w:hAnsi="Times New Roman" w:eastAsia="仿宋" w:cs="Times New Roman"/>
          <w:b w:val="0"/>
          <w:bCs/>
          <w:color w:val="auto"/>
          <w:spacing w:val="-4"/>
          <w:sz w:val="32"/>
          <w:szCs w:val="32"/>
          <w:highlight w:val="none"/>
          <w:lang w:val="en-US" w:eastAsia="zh-CN"/>
        </w:rPr>
        <w:t>次；指标完成率：100.00%；成效分析：通过单位正常运转，提高了</w:t>
      </w:r>
      <w:r>
        <w:rPr>
          <w:rFonts w:hint="default" w:ascii="Times New Roman" w:hAnsi="Times New Roman" w:eastAsia="方正仿宋_GBK" w:cs="Times New Roman"/>
          <w:b w:val="0"/>
          <w:bCs w:val="0"/>
          <w:color w:val="auto"/>
          <w:sz w:val="32"/>
          <w:szCs w:val="32"/>
          <w:highlight w:val="none"/>
        </w:rPr>
        <w:t>档案在“四史”教育和党史学习教育中的重要作用</w:t>
      </w:r>
      <w:r>
        <w:rPr>
          <w:rFonts w:hint="eastAsia" w:ascii="Times New Roman" w:hAnsi="Times New Roman" w:eastAsia="方正仿宋_GBK" w:cs="Times New Roman"/>
          <w:b w:val="0"/>
          <w:bCs w:val="0"/>
          <w:color w:val="auto"/>
          <w:sz w:val="32"/>
          <w:szCs w:val="32"/>
          <w:highlight w:val="none"/>
          <w:lang w:eastAsia="zh-CN"/>
        </w:rPr>
        <w:t>。</w:t>
      </w:r>
    </w:p>
    <w:p>
      <w:pPr>
        <w:ind w:firstLine="624" w:firstLineChars="200"/>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数量指标3：接收馆藏档案单位数量，预期指标值为：&gt;=10个；监控节点完成值：=</w:t>
      </w:r>
      <w:r>
        <w:rPr>
          <w:rStyle w:val="10"/>
          <w:rFonts w:hint="eastAsia" w:ascii="Times New Roman" w:hAnsi="Times New Roman" w:eastAsia="仿宋" w:cs="Times New Roman"/>
          <w:b w:val="0"/>
          <w:bCs/>
          <w:color w:val="auto"/>
          <w:spacing w:val="-4"/>
          <w:sz w:val="32"/>
          <w:szCs w:val="32"/>
          <w:highlight w:val="none"/>
          <w:lang w:val="en-US" w:eastAsia="zh-CN"/>
        </w:rPr>
        <w:t>5</w:t>
      </w:r>
      <w:r>
        <w:rPr>
          <w:rStyle w:val="10"/>
          <w:rFonts w:hint="default" w:ascii="Times New Roman" w:hAnsi="Times New Roman" w:eastAsia="仿宋" w:cs="Times New Roman"/>
          <w:b w:val="0"/>
          <w:bCs/>
          <w:color w:val="auto"/>
          <w:spacing w:val="-4"/>
          <w:sz w:val="32"/>
          <w:szCs w:val="32"/>
          <w:highlight w:val="none"/>
          <w:lang w:val="en-US" w:eastAsia="zh-CN"/>
        </w:rPr>
        <w:t>个；评价实际完成值：=10个；指标完成率：100.00%；成效分析：通过单位正常运转，提高了</w:t>
      </w:r>
      <w:r>
        <w:rPr>
          <w:rFonts w:hint="default" w:ascii="Times New Roman" w:hAnsi="Times New Roman" w:eastAsia="方正仿宋_GBK" w:cs="Times New Roman"/>
          <w:color w:val="auto"/>
          <w:sz w:val="32"/>
          <w:szCs w:val="32"/>
          <w:highlight w:val="none"/>
        </w:rPr>
        <w:t>进馆档案质量达标</w:t>
      </w:r>
      <w:r>
        <w:rPr>
          <w:rFonts w:hint="eastAsia" w:ascii="Times New Roman" w:hAnsi="Times New Roman" w:eastAsia="方正仿宋_GBK" w:cs="Times New Roman"/>
          <w:color w:val="auto"/>
          <w:sz w:val="32"/>
          <w:szCs w:val="32"/>
          <w:highlight w:val="none"/>
          <w:lang w:eastAsia="zh-CN"/>
        </w:rPr>
        <w:t>率</w:t>
      </w:r>
      <w:r>
        <w:rPr>
          <w:rStyle w:val="10"/>
          <w:rFonts w:hint="default" w:ascii="Times New Roman" w:hAnsi="Times New Roman" w:eastAsia="仿宋" w:cs="Times New Roman"/>
          <w:b w:val="0"/>
          <w:bCs/>
          <w:color w:val="auto"/>
          <w:spacing w:val="-4"/>
          <w:sz w:val="32"/>
          <w:szCs w:val="32"/>
          <w:highlight w:val="none"/>
          <w:lang w:val="en-US" w:eastAsia="zh-CN"/>
        </w:rPr>
        <w:t>。</w:t>
      </w:r>
    </w:p>
    <w:p>
      <w:pPr>
        <w:pStyle w:val="2"/>
        <w:ind w:firstLine="624" w:firstLineChars="200"/>
        <w:rPr>
          <w:rFonts w:hint="default" w:ascii="Times New Roman" w:hAnsi="Times New Roman" w:cs="Times New Roman"/>
          <w:color w:val="auto"/>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数量指标4：提供档案查阅次数，预期指标值为：&gt;=200次；监控节点完成值：=</w:t>
      </w:r>
      <w:r>
        <w:rPr>
          <w:rStyle w:val="10"/>
          <w:rFonts w:hint="eastAsia" w:ascii="Times New Roman" w:hAnsi="Times New Roman" w:eastAsia="仿宋" w:cs="Times New Roman"/>
          <w:b w:val="0"/>
          <w:bCs/>
          <w:color w:val="auto"/>
          <w:spacing w:val="-4"/>
          <w:sz w:val="32"/>
          <w:szCs w:val="32"/>
          <w:highlight w:val="none"/>
          <w:lang w:val="en-US" w:eastAsia="zh-CN"/>
        </w:rPr>
        <w:t>100</w:t>
      </w:r>
      <w:r>
        <w:rPr>
          <w:rStyle w:val="10"/>
          <w:rFonts w:hint="default" w:ascii="Times New Roman" w:hAnsi="Times New Roman" w:eastAsia="仿宋" w:cs="Times New Roman"/>
          <w:b w:val="0"/>
          <w:bCs/>
          <w:color w:val="auto"/>
          <w:spacing w:val="-4"/>
          <w:sz w:val="32"/>
          <w:szCs w:val="32"/>
          <w:highlight w:val="none"/>
          <w:lang w:val="en-US" w:eastAsia="zh-CN"/>
        </w:rPr>
        <w:t>次；评价实际完成值：=2934次；指标完成率：0.00%；成效分析：通过单位正常运转，提高了档案查阅</w:t>
      </w:r>
      <w:r>
        <w:rPr>
          <w:rStyle w:val="10"/>
          <w:rFonts w:hint="eastAsia" w:ascii="Times New Roman" w:hAnsi="Times New Roman" w:eastAsia="仿宋" w:cs="Times New Roman"/>
          <w:b w:val="0"/>
          <w:bCs/>
          <w:color w:val="auto"/>
          <w:spacing w:val="-4"/>
          <w:sz w:val="32"/>
          <w:szCs w:val="32"/>
          <w:highlight w:val="none"/>
          <w:lang w:val="en-US" w:eastAsia="zh-CN"/>
        </w:rPr>
        <w:t>人员满意度</w:t>
      </w:r>
      <w:r>
        <w:rPr>
          <w:rStyle w:val="10"/>
          <w:rFonts w:hint="default"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偏差原因：</w:t>
      </w:r>
      <w:r>
        <w:rPr>
          <w:rStyle w:val="10"/>
          <w:rFonts w:hint="eastAsia" w:ascii="Times New Roman" w:hAnsi="Times New Roman" w:eastAsia="仿宋" w:cs="Times New Roman"/>
          <w:b w:val="0"/>
          <w:bCs/>
          <w:color w:val="auto"/>
          <w:spacing w:val="-4"/>
          <w:sz w:val="32"/>
          <w:szCs w:val="32"/>
          <w:highlight w:val="none"/>
          <w:lang w:val="en-US" w:eastAsia="zh-CN"/>
        </w:rPr>
        <w:t>按实际情况填报，超额完成绩效预期指标</w:t>
      </w:r>
      <w:r>
        <w:rPr>
          <w:rStyle w:val="10"/>
          <w:rFonts w:hint="default" w:ascii="Times New Roman" w:hAnsi="Times New Roman" w:eastAsia="仿宋" w:cs="Times New Roman"/>
          <w:b w:val="0"/>
          <w:bCs/>
          <w:color w:val="auto"/>
          <w:spacing w:val="-4"/>
          <w:sz w:val="32"/>
          <w:szCs w:val="32"/>
          <w:highlight w:val="none"/>
          <w:lang w:val="en-US" w:eastAsia="zh-CN"/>
        </w:rPr>
        <w:t>；下一步措施：</w:t>
      </w:r>
      <w:r>
        <w:rPr>
          <w:rStyle w:val="10"/>
          <w:rFonts w:hint="eastAsia" w:ascii="Times New Roman" w:hAnsi="Times New Roman" w:eastAsia="仿宋" w:cs="Times New Roman"/>
          <w:b w:val="0"/>
          <w:bCs/>
          <w:color w:val="auto"/>
          <w:spacing w:val="-4"/>
          <w:sz w:val="32"/>
          <w:szCs w:val="32"/>
          <w:highlight w:val="none"/>
          <w:lang w:val="en-US" w:eastAsia="zh-CN"/>
        </w:rPr>
        <w:t>精准预算精准预期指标</w:t>
      </w:r>
      <w:r>
        <w:rPr>
          <w:rStyle w:val="10"/>
          <w:rFonts w:hint="default" w:ascii="Times New Roman" w:hAnsi="Times New Roman" w:eastAsia="仿宋" w:cs="Times New Roman"/>
          <w:b w:val="0"/>
          <w:bCs/>
          <w:color w:val="auto"/>
          <w:spacing w:val="-4"/>
          <w:sz w:val="32"/>
          <w:szCs w:val="32"/>
          <w:highlight w:val="none"/>
          <w:lang w:val="en-US" w:eastAsia="zh-CN"/>
        </w:rPr>
        <w:t>。</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0"/>
          <w:rFonts w:hint="default" w:ascii="Times New Roman" w:hAnsi="Times New Roman" w:eastAsia="黑体" w:cs="Times New Roman"/>
          <w:b w:val="0"/>
          <w:bCs/>
          <w:color w:val="auto"/>
          <w:spacing w:val="-4"/>
          <w:sz w:val="32"/>
          <w:szCs w:val="32"/>
          <w:highlight w:val="none"/>
          <w:lang w:val="en-US" w:eastAsia="zh-CN"/>
        </w:rPr>
      </w:pPr>
      <w:r>
        <w:rPr>
          <w:rStyle w:val="10"/>
          <w:rFonts w:hint="default" w:ascii="Times New Roman" w:hAnsi="Times New Roman" w:eastAsia="黑体" w:cs="Times New Roman"/>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color w:val="auto"/>
          <w:spacing w:val="-4"/>
          <w:sz w:val="32"/>
          <w:szCs w:val="32"/>
          <w:highlight w:val="none"/>
          <w:lang w:val="en-US" w:eastAsia="zh-CN"/>
        </w:rPr>
      </w:pPr>
      <w:r>
        <w:rPr>
          <w:rStyle w:val="10"/>
          <w:rFonts w:hint="default" w:ascii="Times New Roman" w:hAnsi="Times New Roman" w:eastAsia="仿宋" w:cs="Times New Roman"/>
          <w:b w:val="0"/>
          <w:color w:val="auto"/>
          <w:spacing w:val="-4"/>
          <w:sz w:val="32"/>
          <w:szCs w:val="32"/>
          <w:highlight w:val="none"/>
          <w:lang w:val="en-US" w:eastAsia="zh-CN"/>
        </w:rPr>
        <w:t>无此项指标。</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default" w:ascii="Times New Roman" w:hAnsi="Times New Roman" w:eastAsia="黑体" w:cs="Times New Roman"/>
          <w:b w:val="0"/>
          <w:bCs w:val="0"/>
          <w:color w:val="auto"/>
          <w:spacing w:val="-4"/>
          <w:sz w:val="32"/>
          <w:szCs w:val="32"/>
          <w:highlight w:val="none"/>
        </w:rPr>
      </w:pPr>
      <w:r>
        <w:rPr>
          <w:rStyle w:val="10"/>
          <w:rFonts w:hint="default" w:ascii="Times New Roman" w:hAnsi="Times New Roman" w:eastAsia="黑体" w:cs="Times New Roman"/>
          <w:b w:val="0"/>
          <w:bCs w:val="0"/>
          <w:color w:val="auto"/>
          <w:spacing w:val="-4"/>
          <w:sz w:val="32"/>
          <w:szCs w:val="32"/>
          <w:highlight w:val="none"/>
          <w:lang w:val="en-US" w:eastAsia="zh-CN"/>
        </w:rPr>
        <w:t>四、</w:t>
      </w:r>
      <w:r>
        <w:rPr>
          <w:rStyle w:val="10"/>
          <w:rFonts w:hint="default" w:ascii="Times New Roman" w:hAnsi="Times New Roman" w:eastAsia="黑体" w:cs="Times New Roman"/>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2023年度部门整体支出绩效自评综合得分</w:t>
      </w:r>
      <w:r>
        <w:rPr>
          <w:rStyle w:val="10"/>
          <w:rFonts w:hint="eastAsia" w:ascii="Times New Roman" w:hAnsi="Times New Roman" w:eastAsia="仿宋" w:cs="Times New Roman"/>
          <w:b w:val="0"/>
          <w:bCs/>
          <w:color w:val="auto"/>
          <w:spacing w:val="-4"/>
          <w:sz w:val="32"/>
          <w:szCs w:val="32"/>
          <w:highlight w:val="none"/>
          <w:lang w:val="en-US" w:eastAsia="zh-CN"/>
        </w:rPr>
        <w:t>80</w:t>
      </w:r>
      <w:r>
        <w:rPr>
          <w:rStyle w:val="10"/>
          <w:rFonts w:hint="default" w:ascii="Times New Roman" w:hAnsi="Times New Roman" w:eastAsia="仿宋" w:cs="Times New Roman"/>
          <w:b w:val="0"/>
          <w:bCs/>
          <w:color w:val="auto"/>
          <w:spacing w:val="-4"/>
          <w:sz w:val="32"/>
          <w:szCs w:val="32"/>
          <w:highlight w:val="none"/>
          <w:lang w:val="en-US" w:eastAsia="zh-CN"/>
        </w:rPr>
        <w:t>分，评价结果为</w:t>
      </w:r>
      <w:r>
        <w:rPr>
          <w:rStyle w:val="10"/>
          <w:rFonts w:hint="default" w:ascii="Times New Roman" w:hAnsi="Times New Roman" w:eastAsia="仿宋" w:cs="Times New Roman"/>
          <w:b w:val="0"/>
          <w:bCs/>
          <w:color w:val="auto"/>
          <w:spacing w:val="-4"/>
          <w:sz w:val="32"/>
          <w:szCs w:val="32"/>
          <w:highlight w:val="none"/>
          <w:lang w:val="en-US" w:eastAsia="zh-CN"/>
        </w:rPr>
        <w:t>良</w:t>
      </w:r>
      <w:r>
        <w:rPr>
          <w:rStyle w:val="10"/>
          <w:rFonts w:hint="eastAsia" w:ascii="Times New Roman" w:hAnsi="Times New Roman" w:eastAsia="仿宋" w:cs="Times New Roman"/>
          <w:b w:val="0"/>
          <w:bCs/>
          <w:color w:val="auto"/>
          <w:spacing w:val="-4"/>
          <w:sz w:val="32"/>
          <w:szCs w:val="32"/>
          <w:highlight w:val="none"/>
          <w:lang w:val="en-US" w:eastAsia="zh-CN"/>
        </w:rPr>
        <w:t>。</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default" w:ascii="Times New Roman" w:hAnsi="Times New Roman" w:eastAsia="黑体" w:cs="Times New Roman"/>
          <w:b w:val="0"/>
          <w:bCs w:val="0"/>
          <w:color w:val="auto"/>
          <w:spacing w:val="-4"/>
          <w:sz w:val="32"/>
          <w:szCs w:val="32"/>
          <w:highlight w:val="none"/>
        </w:rPr>
      </w:pPr>
      <w:r>
        <w:rPr>
          <w:rStyle w:val="10"/>
          <w:rFonts w:hint="default" w:ascii="Times New Roman" w:hAnsi="Times New Roman" w:eastAsia="黑体" w:cs="Times New Roman"/>
          <w:b w:val="0"/>
          <w:bCs w:val="0"/>
          <w:color w:val="auto"/>
          <w:spacing w:val="-4"/>
          <w:sz w:val="32"/>
          <w:szCs w:val="32"/>
          <w:highlight w:val="none"/>
          <w:lang w:val="en-US" w:eastAsia="zh-CN"/>
        </w:rPr>
        <w:t>五、</w:t>
      </w:r>
      <w:r>
        <w:rPr>
          <w:rStyle w:val="10"/>
          <w:rFonts w:hint="default" w:ascii="Times New Roman" w:hAnsi="Times New Roman" w:eastAsia="黑体" w:cs="Times New Roman"/>
          <w:b w:val="0"/>
          <w:bCs w:val="0"/>
          <w:color w:val="auto"/>
          <w:spacing w:val="-4"/>
          <w:sz w:val="32"/>
          <w:szCs w:val="32"/>
          <w:highlight w:val="none"/>
        </w:rPr>
        <w:t>存在的主要问题</w:t>
      </w:r>
      <w:r>
        <w:rPr>
          <w:rStyle w:val="10"/>
          <w:rFonts w:hint="default" w:ascii="Times New Roman" w:hAnsi="Times New Roman" w:eastAsia="黑体" w:cs="Times New Roman"/>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（1）预算绩效观念不深入。</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在日常绩效监控工作中存在着一定程度的“重分配、轻管理、重支出、轻绩效”的情况，造成该问题的主要原因是自身绩效理念较薄弱，单位绩效目标编制仍有缺失，需要进一步加强对资金绩效管理的重视程度。</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（2）预算绩效规范管理有盲点。</w:t>
      </w:r>
    </w:p>
    <w:p>
      <w:pPr>
        <w:pageBreakBefore w:val="0"/>
        <w:kinsoku/>
        <w:wordWrap/>
        <w:overflowPunct/>
        <w:topLinePunct w:val="0"/>
        <w:autoSpaceDE/>
        <w:autoSpaceDN/>
        <w:bidi w:val="0"/>
        <w:adjustRightInd/>
        <w:spacing w:line="600" w:lineRule="exact"/>
        <w:ind w:firstLine="624" w:firstLineChars="200"/>
        <w:textAlignment w:val="auto"/>
        <w:rPr>
          <w:rStyle w:val="10"/>
          <w:rFonts w:hint="eastAsia"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default" w:ascii="Times New Roman" w:hAnsi="Times New Roman" w:eastAsia="黑体" w:cs="Times New Roman"/>
          <w:b w:val="0"/>
          <w:bCs w:val="0"/>
          <w:color w:val="auto"/>
          <w:spacing w:val="-4"/>
          <w:sz w:val="32"/>
          <w:szCs w:val="32"/>
          <w:highlight w:val="none"/>
        </w:rPr>
      </w:pPr>
      <w:r>
        <w:rPr>
          <w:rStyle w:val="10"/>
          <w:rFonts w:hint="default" w:ascii="Times New Roman" w:hAnsi="Times New Roman" w:eastAsia="黑体" w:cs="Times New Roman"/>
          <w:b w:val="0"/>
          <w:bCs w:val="0"/>
          <w:color w:val="auto"/>
          <w:spacing w:val="-4"/>
          <w:sz w:val="32"/>
          <w:szCs w:val="32"/>
          <w:highlight w:val="none"/>
          <w:lang w:val="en-US" w:eastAsia="zh-CN"/>
        </w:rPr>
        <w:t>六、</w:t>
      </w:r>
      <w:r>
        <w:rPr>
          <w:rStyle w:val="10"/>
          <w:rFonts w:hint="default" w:ascii="Times New Roman" w:hAnsi="Times New Roman" w:eastAsia="黑体" w:cs="Times New Roman"/>
          <w:b w:val="0"/>
          <w:bCs w:val="0"/>
          <w:color w:val="auto"/>
          <w:spacing w:val="-4"/>
          <w:sz w:val="32"/>
          <w:szCs w:val="32"/>
          <w:highlight w:val="none"/>
        </w:rPr>
        <w:t>改进措施和建议</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一是加强宣传引导,强化绩效观念。</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党的十八届三中全会作出的《关于全面深化改革若干重大问题的决定》中对政府绩效管理和财政预算管理提出了明确要求</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新修订的《预算法》以及新修订的《行政单位财务规则》也对预算绩效管理作出了具体规定</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尽快建立并完善预算绩效管理机制也是深化全面从严治党、推进法治型、服务型、节约型政府建设的有效途径和重要举措。</w:t>
      </w:r>
      <w:r>
        <w:rPr>
          <w:rStyle w:val="10"/>
          <w:rFonts w:hint="eastAsia" w:ascii="Times New Roman" w:hAnsi="Times New Roman" w:eastAsia="仿宋" w:cs="Times New Roman"/>
          <w:b w:val="0"/>
          <w:bCs/>
          <w:color w:val="auto"/>
          <w:spacing w:val="-4"/>
          <w:sz w:val="32"/>
          <w:szCs w:val="32"/>
          <w:highlight w:val="none"/>
          <w:lang w:val="en-US" w:eastAsia="zh-CN"/>
        </w:rPr>
        <w:t>要采取</w:t>
      </w:r>
      <w:r>
        <w:rPr>
          <w:rStyle w:val="10"/>
          <w:rFonts w:hint="default" w:ascii="Times New Roman" w:hAnsi="Times New Roman" w:eastAsia="仿宋" w:cs="Times New Roman"/>
          <w:b w:val="0"/>
          <w:bCs/>
          <w:color w:val="auto"/>
          <w:spacing w:val="-4"/>
          <w:sz w:val="32"/>
          <w:szCs w:val="32"/>
          <w:highlight w:val="none"/>
          <w:lang w:val="en-US" w:eastAsia="zh-CN"/>
        </w:rPr>
        <w:t>专题培训、分类指导等多种形式</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组织预算单位和工作人员学习预算绩效管理的法律法规、规范要求</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让绩效理念深入人心、让绩效管理人员熟知政策、知行合一</w:t>
      </w:r>
      <w:r>
        <w:rPr>
          <w:rStyle w:val="10"/>
          <w:rFonts w:hint="eastAsia" w:ascii="Times New Roman" w:hAnsi="Times New Roman" w:eastAsia="仿宋" w:cs="Times New Roman"/>
          <w:b w:val="0"/>
          <w:bCs/>
          <w:color w:val="auto"/>
          <w:spacing w:val="-4"/>
          <w:sz w:val="32"/>
          <w:szCs w:val="32"/>
          <w:highlight w:val="none"/>
          <w:lang w:val="en-US" w:eastAsia="zh-CN"/>
        </w:rPr>
        <w:t>。</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eastAsia" w:ascii="Times New Roman" w:hAnsi="Times New Roman" w:eastAsia="仿宋" w:cs="Times New Roman"/>
          <w:b w:val="0"/>
          <w:bCs/>
          <w:color w:val="auto"/>
          <w:spacing w:val="-4"/>
          <w:sz w:val="32"/>
          <w:szCs w:val="32"/>
          <w:highlight w:val="none"/>
          <w:lang w:val="en-US" w:eastAsia="zh-CN"/>
        </w:rPr>
        <w:t>二是</w:t>
      </w:r>
      <w:r>
        <w:rPr>
          <w:rStyle w:val="10"/>
          <w:rFonts w:hint="default" w:ascii="Times New Roman" w:hAnsi="Times New Roman" w:eastAsia="仿宋" w:cs="Times New Roman"/>
          <w:b w:val="0"/>
          <w:bCs/>
          <w:color w:val="auto"/>
          <w:spacing w:val="-4"/>
          <w:sz w:val="32"/>
          <w:szCs w:val="32"/>
          <w:highlight w:val="none"/>
          <w:lang w:val="en-US" w:eastAsia="zh-CN"/>
        </w:rPr>
        <w:t>完善指标体系,规范评价标准。</w:t>
      </w:r>
    </w:p>
    <w:p>
      <w:pPr>
        <w:pageBreakBefore w:val="0"/>
        <w:kinsoku/>
        <w:wordWrap/>
        <w:overflowPunct/>
        <w:topLinePunct w:val="0"/>
        <w:autoSpaceDE/>
        <w:autoSpaceDN/>
        <w:bidi w:val="0"/>
        <w:adjustRightInd/>
        <w:spacing w:line="600" w:lineRule="exact"/>
        <w:ind w:firstLine="624" w:firstLineChars="200"/>
        <w:textAlignment w:val="auto"/>
        <w:rPr>
          <w:rStyle w:val="10"/>
          <w:rFonts w:hint="default" w:ascii="Times New Roman" w:hAnsi="Times New Roman" w:eastAsia="仿宋" w:cs="Times New Roman"/>
          <w:b w:val="0"/>
          <w:bCs/>
          <w:color w:val="auto"/>
          <w:spacing w:val="-4"/>
          <w:sz w:val="32"/>
          <w:szCs w:val="32"/>
          <w:highlight w:val="none"/>
          <w:lang w:val="en-US" w:eastAsia="zh-CN"/>
        </w:rPr>
      </w:pPr>
      <w:r>
        <w:rPr>
          <w:rStyle w:val="10"/>
          <w:rFonts w:hint="default" w:ascii="Times New Roman" w:hAnsi="Times New Roman" w:eastAsia="仿宋" w:cs="Times New Roman"/>
          <w:b w:val="0"/>
          <w:bCs/>
          <w:color w:val="auto"/>
          <w:spacing w:val="-4"/>
          <w:sz w:val="32"/>
          <w:szCs w:val="32"/>
          <w:highlight w:val="none"/>
          <w:lang w:val="en-US" w:eastAsia="zh-CN"/>
        </w:rPr>
        <w:t>要准确把握预算绩效管理的制度规定</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积极探索适用于不同部门、不同项目的绩效指标</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逐步建立涵盖各类各项支出、符合目标内容、突出绩效特色、细化量化、便于考核的统一规范的绩效评价指标体系</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以及覆盖全部预算支出结果绩效评价的规范标准</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尽快形成</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预算编制有目标、预算执行有监控、预算完成有评价、评价结果有反馈、反馈结果有应用</w:t>
      </w:r>
      <w:r>
        <w:rPr>
          <w:rStyle w:val="10"/>
          <w:rFonts w:hint="eastAsia" w:ascii="Times New Roman" w:hAnsi="Times New Roman" w:eastAsia="仿宋" w:cs="Times New Roman"/>
          <w:b w:val="0"/>
          <w:bCs/>
          <w:color w:val="auto"/>
          <w:spacing w:val="-4"/>
          <w:sz w:val="32"/>
          <w:szCs w:val="32"/>
          <w:highlight w:val="none"/>
          <w:lang w:val="en-US" w:eastAsia="zh-CN"/>
        </w:rPr>
        <w:t>”</w:t>
      </w:r>
      <w:r>
        <w:rPr>
          <w:rStyle w:val="10"/>
          <w:rFonts w:hint="default" w:ascii="Times New Roman" w:hAnsi="Times New Roman" w:eastAsia="仿宋" w:cs="Times New Roman"/>
          <w:b w:val="0"/>
          <w:bCs/>
          <w:color w:val="auto"/>
          <w:spacing w:val="-4"/>
          <w:sz w:val="32"/>
          <w:szCs w:val="32"/>
          <w:highlight w:val="none"/>
          <w:lang w:val="en-US" w:eastAsia="zh-CN"/>
        </w:rPr>
        <w:t>的全过程预算绩效管理机制。</w:t>
      </w:r>
    </w:p>
    <w:p>
      <w:pPr>
        <w:pStyle w:val="13"/>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0"/>
          <w:rFonts w:hint="default" w:ascii="Times New Roman" w:hAnsi="Times New Roman" w:eastAsia="黑体" w:cs="Times New Roman"/>
          <w:b w:val="0"/>
          <w:bCs w:val="0"/>
          <w:color w:val="auto"/>
          <w:spacing w:val="-4"/>
          <w:sz w:val="32"/>
          <w:szCs w:val="32"/>
          <w:highlight w:val="none"/>
        </w:rPr>
      </w:pPr>
      <w:r>
        <w:rPr>
          <w:rStyle w:val="10"/>
          <w:rFonts w:hint="default" w:ascii="Times New Roman" w:hAnsi="Times New Roman" w:eastAsia="黑体" w:cs="Times New Roman"/>
          <w:b w:val="0"/>
          <w:bCs w:val="0"/>
          <w:color w:val="auto"/>
          <w:spacing w:val="-4"/>
          <w:sz w:val="32"/>
          <w:szCs w:val="32"/>
          <w:highlight w:val="none"/>
          <w:lang w:val="en-US" w:eastAsia="zh-CN"/>
        </w:rPr>
        <w:t>七、</w:t>
      </w:r>
      <w:r>
        <w:rPr>
          <w:rStyle w:val="10"/>
          <w:rFonts w:hint="default" w:ascii="Times New Roman" w:hAnsi="Times New Roman" w:eastAsia="黑体" w:cs="Times New Roman"/>
          <w:b w:val="0"/>
          <w:bCs w:val="0"/>
          <w:color w:val="auto"/>
          <w:spacing w:val="-4"/>
          <w:sz w:val="32"/>
          <w:szCs w:val="32"/>
          <w:highlight w:val="none"/>
        </w:rPr>
        <w:t>附表：《部门整体支出绩效自评表》</w:t>
      </w:r>
    </w:p>
    <w:bookmarkEnd w:id="0"/>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279D5D-362B-4C6A-93A6-4EDAB9B81C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E2860210-A55E-46EE-9243-65CC16B31FE3}"/>
  </w:font>
  <w:font w:name="仿宋_GB2312">
    <w:panose1 w:val="02010609030101010101"/>
    <w:charset w:val="86"/>
    <w:family w:val="modern"/>
    <w:pitch w:val="default"/>
    <w:sig w:usb0="00000001" w:usb1="080E0000" w:usb2="00000000" w:usb3="00000000" w:csb0="00040000" w:csb1="00000000"/>
    <w:embedRegular r:id="rId3" w:fontKey="{1F61F07E-58E1-4A24-942E-95A5F9373D4B}"/>
  </w:font>
  <w:font w:name="方正仿宋_GBK">
    <w:panose1 w:val="03000509000000000000"/>
    <w:charset w:val="86"/>
    <w:family w:val="auto"/>
    <w:pitch w:val="default"/>
    <w:sig w:usb0="00000001" w:usb1="080E0000" w:usb2="00000000" w:usb3="00000000" w:csb0="00040000" w:csb1="00000000"/>
    <w:embedRegular r:id="rId4" w:fontKey="{F5D4E227-CF4F-464C-B813-A48434B8198D}"/>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18C519F"/>
    <w:rsid w:val="02021905"/>
    <w:rsid w:val="02355837"/>
    <w:rsid w:val="023B0973"/>
    <w:rsid w:val="02610413"/>
    <w:rsid w:val="02F163A2"/>
    <w:rsid w:val="02FE786C"/>
    <w:rsid w:val="03341650"/>
    <w:rsid w:val="03375877"/>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5E5DFE"/>
    <w:rsid w:val="0BC5472E"/>
    <w:rsid w:val="0BD256C9"/>
    <w:rsid w:val="0D3F0613"/>
    <w:rsid w:val="0D617282"/>
    <w:rsid w:val="0F661726"/>
    <w:rsid w:val="0F772EC6"/>
    <w:rsid w:val="0F877334"/>
    <w:rsid w:val="10182B28"/>
    <w:rsid w:val="109160DD"/>
    <w:rsid w:val="10947BCD"/>
    <w:rsid w:val="114B3E5E"/>
    <w:rsid w:val="115E3FEE"/>
    <w:rsid w:val="116B384E"/>
    <w:rsid w:val="11DD16C8"/>
    <w:rsid w:val="127A77C1"/>
    <w:rsid w:val="130A20A3"/>
    <w:rsid w:val="13352CE1"/>
    <w:rsid w:val="135E44C2"/>
    <w:rsid w:val="13D14FAF"/>
    <w:rsid w:val="13E07D60"/>
    <w:rsid w:val="14E65BEA"/>
    <w:rsid w:val="150177FB"/>
    <w:rsid w:val="15875F52"/>
    <w:rsid w:val="15B73666"/>
    <w:rsid w:val="15C42D02"/>
    <w:rsid w:val="168A2EA6"/>
    <w:rsid w:val="17D5194F"/>
    <w:rsid w:val="180A4FDB"/>
    <w:rsid w:val="1840056E"/>
    <w:rsid w:val="192177D8"/>
    <w:rsid w:val="194235E6"/>
    <w:rsid w:val="196A001E"/>
    <w:rsid w:val="198331C0"/>
    <w:rsid w:val="19AD1CFF"/>
    <w:rsid w:val="19C92FDD"/>
    <w:rsid w:val="19DB061A"/>
    <w:rsid w:val="19E576EB"/>
    <w:rsid w:val="19FF664E"/>
    <w:rsid w:val="1A091F78"/>
    <w:rsid w:val="1A345F7C"/>
    <w:rsid w:val="1A475CB0"/>
    <w:rsid w:val="1A6D6D72"/>
    <w:rsid w:val="1AEB4D61"/>
    <w:rsid w:val="1C230AC0"/>
    <w:rsid w:val="1C615CEF"/>
    <w:rsid w:val="1CDA72AF"/>
    <w:rsid w:val="1D632B53"/>
    <w:rsid w:val="1D7602A9"/>
    <w:rsid w:val="1DC83D3D"/>
    <w:rsid w:val="1E613949"/>
    <w:rsid w:val="1EAE0073"/>
    <w:rsid w:val="1F195A2C"/>
    <w:rsid w:val="1F2B5BA0"/>
    <w:rsid w:val="205102FB"/>
    <w:rsid w:val="206C1833"/>
    <w:rsid w:val="20762FC4"/>
    <w:rsid w:val="212C60E2"/>
    <w:rsid w:val="213276BA"/>
    <w:rsid w:val="21DB6E7F"/>
    <w:rsid w:val="21DE15EF"/>
    <w:rsid w:val="22C95DFC"/>
    <w:rsid w:val="23021A8B"/>
    <w:rsid w:val="2320540D"/>
    <w:rsid w:val="23254B60"/>
    <w:rsid w:val="236E0539"/>
    <w:rsid w:val="23BE3486"/>
    <w:rsid w:val="23E6478B"/>
    <w:rsid w:val="2422471A"/>
    <w:rsid w:val="24A85EE5"/>
    <w:rsid w:val="24DB72C2"/>
    <w:rsid w:val="263962DE"/>
    <w:rsid w:val="265B08FA"/>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4B5348"/>
    <w:rsid w:val="2A6B1740"/>
    <w:rsid w:val="2A924D25"/>
    <w:rsid w:val="2AB71864"/>
    <w:rsid w:val="2AD30362"/>
    <w:rsid w:val="2B161A0E"/>
    <w:rsid w:val="2B1D67DB"/>
    <w:rsid w:val="2B2D4A4E"/>
    <w:rsid w:val="2BCA3DF7"/>
    <w:rsid w:val="2BFA5278"/>
    <w:rsid w:val="2C3F44FD"/>
    <w:rsid w:val="2C8903AA"/>
    <w:rsid w:val="2CD01740"/>
    <w:rsid w:val="2CE43832"/>
    <w:rsid w:val="2DAA6B58"/>
    <w:rsid w:val="2DB034FA"/>
    <w:rsid w:val="2E4A4A48"/>
    <w:rsid w:val="2F8715FA"/>
    <w:rsid w:val="2F994DA8"/>
    <w:rsid w:val="2FB43990"/>
    <w:rsid w:val="2FC040E2"/>
    <w:rsid w:val="30143D58"/>
    <w:rsid w:val="30240D0F"/>
    <w:rsid w:val="304271ED"/>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A0B20C4"/>
    <w:rsid w:val="3AA12D62"/>
    <w:rsid w:val="3AA840F1"/>
    <w:rsid w:val="3AC04B59"/>
    <w:rsid w:val="3B2319C9"/>
    <w:rsid w:val="3B5D5890"/>
    <w:rsid w:val="3BA6683D"/>
    <w:rsid w:val="3BC431AC"/>
    <w:rsid w:val="3C012639"/>
    <w:rsid w:val="3D8870BF"/>
    <w:rsid w:val="3DA52B6A"/>
    <w:rsid w:val="3E444A9B"/>
    <w:rsid w:val="3E833FCF"/>
    <w:rsid w:val="3EE14392"/>
    <w:rsid w:val="3EE3321B"/>
    <w:rsid w:val="3EE93EED"/>
    <w:rsid w:val="3F177A97"/>
    <w:rsid w:val="3FF57BF1"/>
    <w:rsid w:val="40A67324"/>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6C2653A"/>
    <w:rsid w:val="47013FF5"/>
    <w:rsid w:val="47CB141F"/>
    <w:rsid w:val="484A2C8B"/>
    <w:rsid w:val="48500FEB"/>
    <w:rsid w:val="49284D7B"/>
    <w:rsid w:val="49487285"/>
    <w:rsid w:val="49543DC1"/>
    <w:rsid w:val="4A003601"/>
    <w:rsid w:val="4A0F39E7"/>
    <w:rsid w:val="4B364032"/>
    <w:rsid w:val="4B3B68BB"/>
    <w:rsid w:val="4B443785"/>
    <w:rsid w:val="4B537C75"/>
    <w:rsid w:val="4BC13264"/>
    <w:rsid w:val="4BDE3E16"/>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2F263F9"/>
    <w:rsid w:val="53840801"/>
    <w:rsid w:val="543D24BF"/>
    <w:rsid w:val="548754B8"/>
    <w:rsid w:val="54CA318A"/>
    <w:rsid w:val="55517AB0"/>
    <w:rsid w:val="56391E05"/>
    <w:rsid w:val="56486A5C"/>
    <w:rsid w:val="57192BB8"/>
    <w:rsid w:val="5734671F"/>
    <w:rsid w:val="57423EBA"/>
    <w:rsid w:val="57813298"/>
    <w:rsid w:val="57AE7CE9"/>
    <w:rsid w:val="57BB500C"/>
    <w:rsid w:val="58627B7D"/>
    <w:rsid w:val="58753EBA"/>
    <w:rsid w:val="58E426FC"/>
    <w:rsid w:val="58FC3B2E"/>
    <w:rsid w:val="59063548"/>
    <w:rsid w:val="5A6776CD"/>
    <w:rsid w:val="5ADD1E8F"/>
    <w:rsid w:val="5AE6303A"/>
    <w:rsid w:val="5B155A7C"/>
    <w:rsid w:val="5B442B97"/>
    <w:rsid w:val="5B745BFD"/>
    <w:rsid w:val="5B977B3E"/>
    <w:rsid w:val="5C5B0B6B"/>
    <w:rsid w:val="5CB643E4"/>
    <w:rsid w:val="5D8D11F8"/>
    <w:rsid w:val="5E2D5305"/>
    <w:rsid w:val="5E745F14"/>
    <w:rsid w:val="5F1D65AC"/>
    <w:rsid w:val="5F230066"/>
    <w:rsid w:val="5F41229A"/>
    <w:rsid w:val="5F814D8D"/>
    <w:rsid w:val="5FA47678"/>
    <w:rsid w:val="5FE33352"/>
    <w:rsid w:val="5FE455B0"/>
    <w:rsid w:val="60504E56"/>
    <w:rsid w:val="60535261"/>
    <w:rsid w:val="627A5057"/>
    <w:rsid w:val="62A033DD"/>
    <w:rsid w:val="62B113CD"/>
    <w:rsid w:val="62BD03DB"/>
    <w:rsid w:val="62C70D09"/>
    <w:rsid w:val="62D376AD"/>
    <w:rsid w:val="63002758"/>
    <w:rsid w:val="63886101"/>
    <w:rsid w:val="63E072F9"/>
    <w:rsid w:val="63E738F2"/>
    <w:rsid w:val="648B2856"/>
    <w:rsid w:val="64AD2180"/>
    <w:rsid w:val="64F46001"/>
    <w:rsid w:val="657F59E9"/>
    <w:rsid w:val="658E5B0E"/>
    <w:rsid w:val="65D86017"/>
    <w:rsid w:val="65E6594A"/>
    <w:rsid w:val="660E1EAC"/>
    <w:rsid w:val="661600DA"/>
    <w:rsid w:val="66DF5346"/>
    <w:rsid w:val="66E14AAB"/>
    <w:rsid w:val="6736630B"/>
    <w:rsid w:val="677A0A3F"/>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2E63F7"/>
    <w:rsid w:val="71477CCB"/>
    <w:rsid w:val="7178018F"/>
    <w:rsid w:val="71BA40BB"/>
    <w:rsid w:val="71CD052F"/>
    <w:rsid w:val="73740A39"/>
    <w:rsid w:val="73D43285"/>
    <w:rsid w:val="742B746E"/>
    <w:rsid w:val="74736F42"/>
    <w:rsid w:val="74CA7F29"/>
    <w:rsid w:val="752B1D3E"/>
    <w:rsid w:val="75913D16"/>
    <w:rsid w:val="76191423"/>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94551C"/>
    <w:rsid w:val="7AA20E97"/>
    <w:rsid w:val="7AAA4D40"/>
    <w:rsid w:val="7ABC4A73"/>
    <w:rsid w:val="7AC10876"/>
    <w:rsid w:val="7B2F16E9"/>
    <w:rsid w:val="7B334ED0"/>
    <w:rsid w:val="7B615D46"/>
    <w:rsid w:val="7C4B6886"/>
    <w:rsid w:val="7C71236F"/>
    <w:rsid w:val="7C7B25BC"/>
    <w:rsid w:val="7C8D2B6B"/>
    <w:rsid w:val="7D360B0D"/>
    <w:rsid w:val="7D55069E"/>
    <w:rsid w:val="7D670C49"/>
    <w:rsid w:val="7D711B45"/>
    <w:rsid w:val="7DF84014"/>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First Indent"/>
    <w:basedOn w:val="2"/>
    <w:next w:val="1"/>
    <w:qFormat/>
    <w:uiPriority w:val="0"/>
    <w:pPr>
      <w:ind w:firstLine="420" w:firstLineChars="100"/>
    </w:p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0"/>
    <w:rPr>
      <w:b/>
      <w:bCs/>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409</Words>
  <Characters>422</Characters>
  <Lines>9</Lines>
  <Paragraphs>2</Paragraphs>
  <TotalTime>7</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右先生</cp:lastModifiedBy>
  <cp:lastPrinted>2024-03-04T11:32:00Z</cp:lastPrinted>
  <dcterms:modified xsi:type="dcterms:W3CDTF">2024-05-14T02:21:52Z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86C493631092486086FCFCD99B558BFF_13</vt:lpwstr>
  </property>
</Properties>
</file>