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default" w:ascii="Times New Roman" w:hAnsi="Times New Roman" w:eastAsia="黑体" w:cs="Times New Roman"/>
          <w:b/>
          <w:color w:val="auto"/>
          <w:kern w:val="0"/>
          <w:sz w:val="48"/>
          <w:szCs w:val="48"/>
          <w:highlight w:val="none"/>
        </w:rPr>
      </w:pPr>
      <w:r>
        <w:rPr>
          <w:rFonts w:hint="default" w:ascii="Times New Roman" w:hAnsi="Times New Roman" w:eastAsia="黑体" w:cs="Times New Roman"/>
          <w:b/>
          <w:color w:val="auto"/>
          <w:kern w:val="0"/>
          <w:sz w:val="48"/>
          <w:szCs w:val="48"/>
          <w:highlight w:val="none"/>
          <w:lang w:val="en-US" w:eastAsia="zh-CN"/>
        </w:rPr>
        <w:t>库尔勒市</w:t>
      </w:r>
      <w:r>
        <w:rPr>
          <w:rFonts w:hint="default" w:ascii="Times New Roman" w:hAnsi="Times New Roman" w:eastAsia="黑体" w:cs="Times New Roman"/>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default" w:ascii="Times New Roman" w:hAnsi="Times New Roman" w:eastAsia="黑体" w:cs="Times New Roman"/>
          <w:b/>
          <w:color w:val="auto"/>
          <w:kern w:val="0"/>
          <w:sz w:val="48"/>
          <w:szCs w:val="48"/>
          <w:highlight w:val="none"/>
        </w:rPr>
      </w:pPr>
      <w:r>
        <w:rPr>
          <w:rFonts w:hint="default" w:ascii="Times New Roman" w:hAnsi="Times New Roman" w:eastAsia="黑体" w:cs="Times New Roman"/>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w:t>
      </w:r>
      <w:r>
        <w:rPr>
          <w:rFonts w:hint="default" w:ascii="Times New Roman" w:hAnsi="Times New Roman" w:eastAsia="黑体" w:cs="Times New Roman"/>
          <w:color w:val="auto"/>
          <w:kern w:val="0"/>
          <w:sz w:val="36"/>
          <w:szCs w:val="36"/>
          <w:highlight w:val="none"/>
          <w:lang w:val="en-US" w:eastAsia="zh-CN"/>
        </w:rPr>
        <w:t>2023</w:t>
      </w:r>
      <w:r>
        <w:rPr>
          <w:rFonts w:hint="default" w:ascii="Times New Roman" w:hAnsi="Times New Roman" w:eastAsia="黑体" w:cs="Times New Roman"/>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default" w:ascii="Times New Roman" w:hAnsi="Times New Roman" w:eastAsia="仿宋" w:cs="Times New Roman"/>
          <w:color w:val="auto"/>
          <w:kern w:val="0"/>
          <w:sz w:val="36"/>
          <w:szCs w:val="36"/>
          <w:highlight w:val="none"/>
        </w:rPr>
      </w:pPr>
      <w:r>
        <w:rPr>
          <w:rFonts w:hint="default" w:ascii="Times New Roman" w:hAnsi="Times New Roman" w:eastAsia="仿宋" w:cs="Times New Roman"/>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jc w:val="left"/>
        <w:textAlignment w:val="auto"/>
        <w:rPr>
          <w:rFonts w:hint="default" w:ascii="Times New Roman" w:hAnsi="Times New Roman" w:eastAsia="仿宋" w:cs="Times New Roman"/>
          <w:color w:val="auto"/>
          <w:kern w:val="0"/>
          <w:sz w:val="36"/>
          <w:szCs w:val="36"/>
          <w:highlight w:val="none"/>
          <w:lang w:val="en-US" w:eastAsia="zh-CN"/>
        </w:rPr>
      </w:pPr>
      <w:r>
        <w:rPr>
          <w:rFonts w:hint="default" w:ascii="Times New Roman" w:hAnsi="Times New Roman" w:eastAsia="仿宋" w:cs="Times New Roman"/>
          <w:color w:val="auto"/>
          <w:kern w:val="0"/>
          <w:sz w:val="36"/>
          <w:szCs w:val="36"/>
          <w:highlight w:val="none"/>
        </w:rPr>
        <w:t>部门单位名称（公章）：中共库尔勒市委员会办公室</w:t>
      </w:r>
    </w:p>
    <w:p>
      <w:pPr>
        <w:pageBreakBefore w:val="0"/>
        <w:kinsoku/>
        <w:wordWrap/>
        <w:overflowPunct/>
        <w:topLinePunct w:val="0"/>
        <w:autoSpaceDE/>
        <w:autoSpaceDN/>
        <w:bidi w:val="0"/>
        <w:adjustRightInd/>
        <w:spacing w:line="700" w:lineRule="exact"/>
        <w:jc w:val="left"/>
        <w:textAlignment w:val="auto"/>
        <w:rPr>
          <w:rFonts w:hint="default" w:ascii="Times New Roman" w:hAnsi="Times New Roman" w:eastAsia="仿宋" w:cs="Times New Roman"/>
          <w:color w:val="auto"/>
          <w:kern w:val="0"/>
          <w:sz w:val="36"/>
          <w:szCs w:val="36"/>
          <w:highlight w:val="none"/>
        </w:rPr>
      </w:pPr>
      <w:r>
        <w:rPr>
          <w:rFonts w:hint="default" w:ascii="Times New Roman" w:hAnsi="Times New Roman" w:eastAsia="仿宋" w:cs="Times New Roman"/>
          <w:color w:val="auto"/>
          <w:kern w:val="0"/>
          <w:sz w:val="36"/>
          <w:szCs w:val="36"/>
          <w:highlight w:val="none"/>
        </w:rPr>
        <w:t>填报时间：</w:t>
      </w:r>
      <w:r>
        <w:rPr>
          <w:rFonts w:hint="default" w:ascii="Times New Roman" w:hAnsi="Times New Roman" w:eastAsia="仿宋" w:cs="Times New Roman"/>
          <w:color w:val="auto"/>
          <w:kern w:val="0"/>
          <w:sz w:val="36"/>
          <w:szCs w:val="36"/>
          <w:highlight w:val="none"/>
          <w:lang w:val="en-US" w:eastAsia="zh-CN"/>
        </w:rPr>
        <w:t>2024</w:t>
      </w:r>
      <w:r>
        <w:rPr>
          <w:rFonts w:hint="default" w:ascii="Times New Roman" w:hAnsi="Times New Roman" w:eastAsia="仿宋" w:cs="Times New Roman"/>
          <w:color w:val="auto"/>
          <w:kern w:val="0"/>
          <w:sz w:val="36"/>
          <w:szCs w:val="36"/>
          <w:highlight w:val="none"/>
        </w:rPr>
        <w:t>年</w:t>
      </w:r>
      <w:r>
        <w:rPr>
          <w:rFonts w:hint="default" w:ascii="Times New Roman" w:hAnsi="Times New Roman" w:eastAsia="仿宋" w:cs="Times New Roman"/>
          <w:color w:val="auto"/>
          <w:kern w:val="0"/>
          <w:sz w:val="36"/>
          <w:szCs w:val="36"/>
          <w:highlight w:val="none"/>
          <w:lang w:val="en-US" w:eastAsia="zh-CN"/>
        </w:rPr>
        <w:t>4</w:t>
      </w:r>
      <w:r>
        <w:rPr>
          <w:rFonts w:hint="default" w:ascii="Times New Roman" w:hAnsi="Times New Roman" w:eastAsia="仿宋" w:cs="Times New Roman"/>
          <w:color w:val="auto"/>
          <w:kern w:val="0"/>
          <w:sz w:val="36"/>
          <w:szCs w:val="36"/>
          <w:highlight w:val="none"/>
        </w:rPr>
        <w:t>月</w:t>
      </w:r>
      <w:r>
        <w:rPr>
          <w:rFonts w:hint="default" w:ascii="Times New Roman" w:hAnsi="Times New Roman" w:eastAsia="仿宋" w:cs="Times New Roman"/>
          <w:color w:val="auto"/>
          <w:kern w:val="0"/>
          <w:sz w:val="36"/>
          <w:szCs w:val="36"/>
          <w:highlight w:val="none"/>
          <w:lang w:val="en-US" w:eastAsia="zh-CN"/>
        </w:rPr>
        <w:t>28</w:t>
      </w:r>
      <w:r>
        <w:rPr>
          <w:rFonts w:hint="default" w:ascii="Times New Roman" w:hAnsi="Times New Roman" w:eastAsia="仿宋" w:cs="Times New Roman"/>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rPr>
      </w:pPr>
      <w:r>
        <w:rPr>
          <w:rStyle w:val="10"/>
          <w:rFonts w:hint="default" w:ascii="Times New Roman" w:hAnsi="Times New Roman" w:eastAsia="黑体" w:cs="Times New Roman"/>
          <w:b w:val="0"/>
          <w:bCs/>
          <w:color w:val="auto"/>
          <w:spacing w:val="-4"/>
          <w:sz w:val="32"/>
          <w:szCs w:val="32"/>
          <w:highlight w:val="none"/>
          <w:lang w:val="en-US" w:eastAsia="zh-CN"/>
        </w:rPr>
        <w:t>(一)</w:t>
      </w:r>
      <w:r>
        <w:rPr>
          <w:rStyle w:val="10"/>
          <w:rFonts w:hint="default" w:ascii="Times New Roman" w:hAnsi="Times New Roman" w:eastAsia="黑体" w:cs="Times New Roman"/>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Fonts w:hint="default" w:ascii="Times New Roman" w:hAnsi="Times New Roman" w:eastAsia="仿宋" w:cs="Times New Roman"/>
          <w:b w:val="0"/>
          <w:bCs/>
          <w:color w:val="auto"/>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rPr>
        <w:t>在市党委的坚强领导下，中共库尔勒市</w:t>
      </w:r>
      <w:r>
        <w:rPr>
          <w:rStyle w:val="10"/>
          <w:rFonts w:hint="default" w:ascii="Times New Roman" w:hAnsi="Times New Roman" w:eastAsia="仿宋" w:cs="Times New Roman"/>
          <w:b w:val="0"/>
          <w:bCs/>
          <w:color w:val="auto"/>
          <w:spacing w:val="-4"/>
          <w:sz w:val="32"/>
          <w:szCs w:val="32"/>
          <w:highlight w:val="none"/>
          <w:lang w:eastAsia="zh-CN"/>
        </w:rPr>
        <w:t>委员会</w:t>
      </w:r>
      <w:r>
        <w:rPr>
          <w:rStyle w:val="10"/>
          <w:rFonts w:hint="default" w:ascii="Times New Roman" w:hAnsi="Times New Roman" w:eastAsia="仿宋" w:cs="Times New Roman"/>
          <w:b w:val="0"/>
          <w:bCs/>
          <w:color w:val="auto"/>
          <w:spacing w:val="-4"/>
          <w:sz w:val="32"/>
          <w:szCs w:val="32"/>
          <w:highlight w:val="none"/>
        </w:rPr>
        <w:t>办公室以习近平新时代中国特色社会主义思想为指导，以做坚决贯彻落实社会稳定和长治久安总目标的表率机关为己任，自觉对标对表</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五个坚持</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和市党委部署要求，切实提高政治站位、提升工作质量、提振精神状态，建设让党放心、让人民满意的模范机关，打造市党委</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坚强前哨</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和</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巩固后院</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。以对党绝对忠诚的政治品格做好</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三服务</w:t>
      </w:r>
      <w:r>
        <w:rPr>
          <w:rStyle w:val="10"/>
          <w:rFonts w:hint="eastAsia" w:ascii="Times New Roman" w:hAnsi="Times New Roman" w:eastAsia="仿宋" w:cs="Times New Roman"/>
          <w:b w:val="0"/>
          <w:bCs/>
          <w:color w:val="auto"/>
          <w:spacing w:val="-4"/>
          <w:sz w:val="32"/>
          <w:szCs w:val="32"/>
          <w:highlight w:val="none"/>
          <w:lang w:eastAsia="zh-CN"/>
        </w:rPr>
        <w:t>”</w:t>
      </w:r>
      <w:r>
        <w:rPr>
          <w:rStyle w:val="10"/>
          <w:rFonts w:hint="default" w:ascii="Times New Roman" w:hAnsi="Times New Roman" w:eastAsia="仿宋" w:cs="Times New Roman"/>
          <w:b w:val="0"/>
          <w:bCs/>
          <w:color w:val="auto"/>
          <w:spacing w:val="-4"/>
          <w:sz w:val="32"/>
          <w:szCs w:val="32"/>
          <w:highlight w:val="none"/>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Fonts w:hint="default" w:ascii="Times New Roman" w:hAnsi="Times New Roman" w:eastAsia="仿宋" w:cs="Times New Roman"/>
          <w:color w:val="auto"/>
          <w:kern w:val="2"/>
          <w:sz w:val="32"/>
          <w:szCs w:val="32"/>
          <w:highlight w:val="none"/>
          <w:lang w:val="en-US" w:eastAsia="zh-CN" w:bidi="ar-SA"/>
        </w:rPr>
      </w:pPr>
      <w:r>
        <w:rPr>
          <w:rStyle w:val="10"/>
          <w:rFonts w:hint="default" w:ascii="Times New Roman" w:hAnsi="Times New Roman" w:eastAsia="仿宋" w:cs="Times New Roman"/>
          <w:b w:val="0"/>
          <w:bCs/>
          <w:color w:val="auto"/>
          <w:spacing w:val="-4"/>
          <w:sz w:val="32"/>
          <w:szCs w:val="32"/>
          <w:highlight w:val="none"/>
        </w:rPr>
        <w:t>中共库尔勒市</w:t>
      </w:r>
      <w:r>
        <w:rPr>
          <w:rStyle w:val="10"/>
          <w:rFonts w:hint="default" w:ascii="Times New Roman" w:hAnsi="Times New Roman" w:eastAsia="仿宋" w:cs="Times New Roman"/>
          <w:b w:val="0"/>
          <w:bCs/>
          <w:color w:val="auto"/>
          <w:spacing w:val="-4"/>
          <w:sz w:val="32"/>
          <w:szCs w:val="32"/>
          <w:highlight w:val="none"/>
          <w:lang w:eastAsia="zh-CN"/>
        </w:rPr>
        <w:t>委员会</w:t>
      </w:r>
      <w:r>
        <w:rPr>
          <w:rStyle w:val="10"/>
          <w:rFonts w:hint="default" w:ascii="Times New Roman" w:hAnsi="Times New Roman" w:eastAsia="仿宋" w:cs="Times New Roman"/>
          <w:b w:val="0"/>
          <w:bCs/>
          <w:color w:val="auto"/>
          <w:spacing w:val="-4"/>
          <w:sz w:val="32"/>
          <w:szCs w:val="32"/>
          <w:highlight w:val="none"/>
        </w:rPr>
        <w:t>办公室</w:t>
      </w:r>
      <w:r>
        <w:rPr>
          <w:rFonts w:hint="default" w:ascii="Times New Roman" w:hAnsi="Times New Roman" w:eastAsia="仿宋" w:cs="Times New Roman"/>
          <w:color w:val="auto"/>
          <w:kern w:val="2"/>
          <w:sz w:val="32"/>
          <w:szCs w:val="32"/>
          <w:highlight w:val="none"/>
          <w:lang w:val="en-US" w:eastAsia="zh-CN" w:bidi="ar-SA"/>
        </w:rPr>
        <w:t>编制数</w:t>
      </w:r>
      <w:r>
        <w:rPr>
          <w:rFonts w:hint="default" w:ascii="Times New Roman" w:hAnsi="Times New Roman" w:eastAsia="仿宋" w:cs="Times New Roman"/>
          <w:color w:val="auto"/>
          <w:kern w:val="2"/>
          <w:sz w:val="32"/>
          <w:szCs w:val="32"/>
          <w:highlight w:val="none"/>
          <w:lang w:val="en-US" w:eastAsia="zh-CN" w:bidi="ar-SA"/>
        </w:rPr>
        <w:t>51</w:t>
      </w:r>
      <w:r>
        <w:rPr>
          <w:rFonts w:hint="default" w:ascii="Times New Roman" w:hAnsi="Times New Roman" w:eastAsia="仿宋" w:cs="Times New Roman"/>
          <w:color w:val="auto"/>
          <w:kern w:val="2"/>
          <w:sz w:val="32"/>
          <w:szCs w:val="32"/>
          <w:highlight w:val="none"/>
          <w:lang w:val="en-US" w:eastAsia="zh-CN" w:bidi="ar-SA"/>
        </w:rPr>
        <w:t>人，实有人数</w:t>
      </w:r>
      <w:r>
        <w:rPr>
          <w:rFonts w:hint="default" w:ascii="Times New Roman" w:hAnsi="Times New Roman" w:eastAsia="仿宋" w:cs="Times New Roman"/>
          <w:color w:val="auto"/>
          <w:kern w:val="2"/>
          <w:sz w:val="32"/>
          <w:szCs w:val="32"/>
          <w:highlight w:val="none"/>
          <w:lang w:val="en-US" w:eastAsia="zh-CN" w:bidi="ar-SA"/>
        </w:rPr>
        <w:t>62</w:t>
      </w:r>
      <w:r>
        <w:rPr>
          <w:rFonts w:hint="default" w:ascii="Times New Roman" w:hAnsi="Times New Roman" w:eastAsia="仿宋" w:cs="Times New Roman"/>
          <w:color w:val="auto"/>
          <w:kern w:val="2"/>
          <w:sz w:val="32"/>
          <w:szCs w:val="32"/>
          <w:highlight w:val="none"/>
          <w:lang w:val="en-US" w:eastAsia="zh-CN" w:bidi="ar-SA"/>
        </w:rPr>
        <w:t>人，其中：在职</w:t>
      </w:r>
      <w:r>
        <w:rPr>
          <w:rFonts w:hint="default" w:ascii="Times New Roman" w:hAnsi="Times New Roman" w:eastAsia="仿宋" w:cs="Times New Roman"/>
          <w:color w:val="auto"/>
          <w:kern w:val="2"/>
          <w:sz w:val="32"/>
          <w:szCs w:val="32"/>
          <w:highlight w:val="none"/>
          <w:lang w:val="en-US" w:eastAsia="zh-CN" w:bidi="ar-SA"/>
        </w:rPr>
        <w:t>44</w:t>
      </w:r>
      <w:r>
        <w:rPr>
          <w:rFonts w:hint="default" w:ascii="Times New Roman" w:hAnsi="Times New Roman" w:eastAsia="仿宋" w:cs="Times New Roman"/>
          <w:color w:val="auto"/>
          <w:kern w:val="2"/>
          <w:sz w:val="32"/>
          <w:szCs w:val="32"/>
          <w:highlight w:val="none"/>
          <w:lang w:val="en-US" w:eastAsia="zh-CN" w:bidi="ar-SA"/>
        </w:rPr>
        <w:t>人；退休</w:t>
      </w:r>
      <w:r>
        <w:rPr>
          <w:rFonts w:hint="default" w:ascii="Times New Roman" w:hAnsi="Times New Roman" w:eastAsia="仿宋" w:cs="Times New Roman"/>
          <w:color w:val="auto"/>
          <w:kern w:val="2"/>
          <w:sz w:val="32"/>
          <w:szCs w:val="32"/>
          <w:highlight w:val="none"/>
          <w:lang w:val="en-US" w:eastAsia="zh-CN" w:bidi="ar-SA"/>
        </w:rPr>
        <w:t>18</w:t>
      </w:r>
      <w:r>
        <w:rPr>
          <w:rFonts w:hint="default" w:ascii="Times New Roman" w:hAnsi="Times New Roman" w:eastAsia="仿宋" w:cs="Times New Roman"/>
          <w:color w:val="auto"/>
          <w:kern w:val="2"/>
          <w:sz w:val="32"/>
          <w:szCs w:val="32"/>
          <w:highlight w:val="none"/>
          <w:lang w:val="en-US" w:eastAsia="zh-CN" w:bidi="ar-SA"/>
        </w:rPr>
        <w:t>人；离休</w:t>
      </w:r>
      <w:r>
        <w:rPr>
          <w:rFonts w:hint="default" w:ascii="Times New Roman" w:hAnsi="Times New Roman" w:eastAsia="仿宋" w:cs="Times New Roman"/>
          <w:color w:val="auto"/>
          <w:kern w:val="2"/>
          <w:sz w:val="32"/>
          <w:szCs w:val="32"/>
          <w:highlight w:val="none"/>
          <w:lang w:val="en-US" w:eastAsia="zh-CN" w:bidi="ar-SA"/>
        </w:rPr>
        <w:t>0</w:t>
      </w:r>
      <w:r>
        <w:rPr>
          <w:rFonts w:hint="default" w:ascii="Times New Roman" w:hAnsi="Times New Roman" w:eastAsia="仿宋" w:cs="Times New Roman"/>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1.2023年度工作计划</w:t>
      </w:r>
    </w:p>
    <w:p>
      <w:pPr>
        <w:ind w:firstLine="640" w:firstLineChars="200"/>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val="en-US" w:eastAsia="zh-CN"/>
        </w:rPr>
        <w:t>1</w:t>
      </w: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eastAsia="zh-CN"/>
        </w:rPr>
        <w:t>充分发挥</w:t>
      </w:r>
      <w:r>
        <w:rPr>
          <w:rFonts w:hint="default" w:ascii="Times New Roman" w:hAnsi="Times New Roman" w:eastAsia="方正楷体_GBK" w:cs="Times New Roman"/>
          <w:color w:val="auto"/>
          <w:sz w:val="32"/>
          <w:szCs w:val="32"/>
          <w:highlight w:val="none"/>
        </w:rPr>
        <w:t>统筹协调</w:t>
      </w:r>
      <w:r>
        <w:rPr>
          <w:rFonts w:hint="default" w:ascii="Times New Roman" w:hAnsi="Times New Roman" w:eastAsia="方正楷体_GBK" w:cs="Times New Roman"/>
          <w:color w:val="auto"/>
          <w:sz w:val="32"/>
          <w:szCs w:val="32"/>
          <w:highlight w:val="none"/>
          <w:lang w:eastAsia="zh-CN"/>
        </w:rPr>
        <w:t>、</w:t>
      </w:r>
      <w:r>
        <w:rPr>
          <w:rFonts w:hint="default" w:ascii="Times New Roman" w:hAnsi="Times New Roman" w:eastAsia="方正楷体_GBK" w:cs="Times New Roman"/>
          <w:color w:val="auto"/>
          <w:sz w:val="32"/>
          <w:szCs w:val="32"/>
          <w:highlight w:val="none"/>
        </w:rPr>
        <w:t>牵头抓总</w:t>
      </w:r>
      <w:r>
        <w:rPr>
          <w:rFonts w:hint="default" w:ascii="Times New Roman" w:hAnsi="Times New Roman" w:eastAsia="方正楷体_GBK" w:cs="Times New Roman"/>
          <w:color w:val="auto"/>
          <w:sz w:val="32"/>
          <w:szCs w:val="32"/>
          <w:highlight w:val="none"/>
          <w:lang w:eastAsia="zh-CN"/>
        </w:rPr>
        <w:t>作用</w:t>
      </w:r>
      <w:r>
        <w:rPr>
          <w:rFonts w:hint="default" w:ascii="Times New Roman" w:hAnsi="Times New Roman" w:eastAsia="方正楷体_GBK" w:cs="Times New Roman"/>
          <w:color w:val="auto"/>
          <w:sz w:val="32"/>
          <w:szCs w:val="32"/>
          <w:highlight w:val="none"/>
        </w:rPr>
        <w:t>。</w:t>
      </w:r>
      <w:r>
        <w:rPr>
          <w:rFonts w:hint="default" w:ascii="Times New Roman" w:hAnsi="Times New Roman" w:eastAsia="仿宋" w:cs="Times New Roman"/>
          <w:b w:val="0"/>
          <w:bCs/>
          <w:color w:val="auto"/>
          <w:sz w:val="32"/>
          <w:szCs w:val="32"/>
          <w:highlight w:val="none"/>
          <w:lang w:val="en-US" w:eastAsia="zh-CN"/>
        </w:rPr>
        <w:t>充分发挥办公室自身</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沟通上下、协调左右、联系各方</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的职能作用，调动各方力量和资源，确保市委安排的各项工作任务有条不紊落到实处。</w:t>
      </w:r>
    </w:p>
    <w:p>
      <w:pPr>
        <w:ind w:firstLine="640" w:firstLineChars="200"/>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val="en-US" w:eastAsia="zh-CN"/>
        </w:rPr>
        <w:t>2</w:t>
      </w: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eastAsia="zh-CN"/>
        </w:rPr>
        <w:t>切实当好市委的</w:t>
      </w:r>
      <w:r>
        <w:rPr>
          <w:rFonts w:hint="default" w:ascii="Times New Roman" w:hAnsi="Times New Roman" w:eastAsia="方正楷体_GBK" w:cs="Times New Roman"/>
          <w:color w:val="auto"/>
          <w:sz w:val="32"/>
          <w:szCs w:val="32"/>
          <w:highlight w:val="none"/>
        </w:rPr>
        <w:t>参谋助手。</w:t>
      </w:r>
      <w:r>
        <w:rPr>
          <w:rFonts w:hint="default" w:ascii="Times New Roman" w:hAnsi="Times New Roman" w:eastAsia="仿宋" w:cs="Times New Roman"/>
          <w:b w:val="0"/>
          <w:bCs/>
          <w:color w:val="auto"/>
          <w:sz w:val="32"/>
          <w:szCs w:val="32"/>
          <w:highlight w:val="none"/>
          <w:lang w:val="en-US" w:eastAsia="zh-CN"/>
        </w:rPr>
        <w:t>充分发挥服务市委决策的</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参谋部</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、社情民意的</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信息部</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作用，文稿起草坚持出思想、讲真话、出精品。将各类文稿撰写和日常事务工作明确责任到人，突出培养干部政策研究能力，撰写调研及领导讲话数量15份。</w:t>
      </w:r>
    </w:p>
    <w:p>
      <w:pPr>
        <w:topLinePunct/>
        <w:autoSpaceDE w:val="0"/>
        <w:ind w:firstLine="640" w:firstLineChars="200"/>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val="en-US" w:eastAsia="zh-CN"/>
        </w:rPr>
        <w:t>3</w:t>
      </w: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eastAsia="zh-CN"/>
        </w:rPr>
        <w:t>进一步提升</w:t>
      </w:r>
      <w:r>
        <w:rPr>
          <w:rFonts w:hint="default" w:ascii="Times New Roman" w:hAnsi="Times New Roman" w:eastAsia="方正楷体_GBK" w:cs="Times New Roman"/>
          <w:color w:val="auto"/>
          <w:sz w:val="32"/>
          <w:szCs w:val="32"/>
          <w:highlight w:val="none"/>
        </w:rPr>
        <w:t>办会办事</w:t>
      </w:r>
      <w:r>
        <w:rPr>
          <w:rFonts w:hint="default" w:ascii="Times New Roman" w:hAnsi="Times New Roman" w:eastAsia="方正楷体_GBK" w:cs="Times New Roman"/>
          <w:color w:val="auto"/>
          <w:sz w:val="32"/>
          <w:szCs w:val="32"/>
          <w:highlight w:val="none"/>
          <w:lang w:eastAsia="zh-CN"/>
        </w:rPr>
        <w:t>质效</w:t>
      </w:r>
      <w:r>
        <w:rPr>
          <w:rFonts w:hint="default" w:ascii="Times New Roman" w:hAnsi="Times New Roman" w:eastAsia="方正楷体_GBK" w:cs="Times New Roman"/>
          <w:color w:val="auto"/>
          <w:sz w:val="32"/>
          <w:szCs w:val="32"/>
          <w:highlight w:val="none"/>
        </w:rPr>
        <w:t>。</w:t>
      </w:r>
      <w:r>
        <w:rPr>
          <w:rFonts w:hint="default" w:ascii="Times New Roman" w:hAnsi="Times New Roman" w:cs="Times New Roman"/>
          <w:b/>
          <w:bCs/>
          <w:color w:val="auto"/>
          <w:sz w:val="32"/>
          <w:szCs w:val="32"/>
          <w:highlight w:val="none"/>
        </w:rPr>
        <w:t>严密保障各项会议</w:t>
      </w:r>
      <w:r>
        <w:rPr>
          <w:rFonts w:hint="default" w:ascii="Times New Roman" w:hAnsi="Times New Roman" w:eastAsia="仿宋" w:cs="Times New Roman"/>
          <w:b w:val="0"/>
          <w:bCs/>
          <w:color w:val="auto"/>
          <w:sz w:val="32"/>
          <w:szCs w:val="32"/>
          <w:highlight w:val="none"/>
          <w:lang w:val="en-US" w:eastAsia="zh-CN"/>
        </w:rPr>
        <w:t>（全年不少于200场，其中常委会不少于12场）。做到会前周密筹备、会中组织到位、会后总结提高，不断提升会议服务质量。</w:t>
      </w:r>
      <w:r>
        <w:rPr>
          <w:rFonts w:hint="default" w:ascii="Times New Roman" w:hAnsi="Times New Roman" w:cs="Times New Roman"/>
          <w:b/>
          <w:bCs/>
          <w:color w:val="auto"/>
          <w:sz w:val="32"/>
          <w:szCs w:val="32"/>
          <w:highlight w:val="none"/>
        </w:rPr>
        <w:t>严谨规范后勤保障。</w:t>
      </w:r>
      <w:r>
        <w:rPr>
          <w:rFonts w:hint="default" w:ascii="Times New Roman" w:hAnsi="Times New Roman" w:eastAsia="仿宋" w:cs="Times New Roman"/>
          <w:b w:val="0"/>
          <w:bCs/>
          <w:color w:val="auto"/>
          <w:sz w:val="32"/>
          <w:szCs w:val="32"/>
          <w:highlight w:val="none"/>
          <w:lang w:val="en-US" w:eastAsia="zh-CN"/>
        </w:rPr>
        <w:t>严格执行政府采购制度，进一步完善公务接待、财务管理等工作制度，形成“用制度管人、按规章办事”的良好工作格局。严格落实厉行节约、反对浪费要求，推动建设节约型机关。</w:t>
      </w:r>
    </w:p>
    <w:p>
      <w:pPr>
        <w:ind w:firstLine="640" w:firstLineChars="200"/>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eastAsia="zh-CN"/>
        </w:rPr>
        <w:t>（</w:t>
      </w:r>
      <w:r>
        <w:rPr>
          <w:rFonts w:hint="default" w:ascii="Times New Roman" w:hAnsi="Times New Roman" w:eastAsia="方正楷体_GBK" w:cs="Times New Roman"/>
          <w:color w:val="auto"/>
          <w:sz w:val="32"/>
          <w:szCs w:val="32"/>
          <w:highlight w:val="none"/>
          <w:lang w:val="en-US" w:eastAsia="zh-CN"/>
        </w:rPr>
        <w:t>4</w:t>
      </w:r>
      <w:r>
        <w:rPr>
          <w:rFonts w:hint="default" w:ascii="Times New Roman" w:hAnsi="Times New Roman" w:eastAsia="方正楷体_GBK" w:cs="Times New Roman"/>
          <w:color w:val="auto"/>
          <w:sz w:val="32"/>
          <w:szCs w:val="32"/>
          <w:highlight w:val="none"/>
          <w:lang w:eastAsia="zh-CN"/>
        </w:rPr>
        <w:t>）做实做细督导工作</w:t>
      </w:r>
      <w:r>
        <w:rPr>
          <w:rFonts w:hint="default" w:ascii="Times New Roman" w:hAnsi="Times New Roman" w:eastAsia="方正楷体_GBK" w:cs="Times New Roman"/>
          <w:color w:val="auto"/>
          <w:sz w:val="32"/>
          <w:szCs w:val="32"/>
          <w:highlight w:val="none"/>
        </w:rPr>
        <w:t>。</w:t>
      </w:r>
      <w:r>
        <w:rPr>
          <w:rFonts w:hint="default" w:ascii="Times New Roman" w:hAnsi="Times New Roman" w:eastAsia="仿宋" w:cs="Times New Roman"/>
          <w:b w:val="0"/>
          <w:bCs/>
          <w:color w:val="auto"/>
          <w:sz w:val="32"/>
          <w:szCs w:val="32"/>
          <w:highlight w:val="none"/>
          <w:lang w:val="en-US" w:eastAsia="zh-CN"/>
        </w:rPr>
        <w:t>坚持把习近平总书记重要指示批示及区州市党委决策部署作为督查重点，全流程跟踪批示件转办、督办和落实情况，统筹推进各级党委各项决策部署和主要领导批示指示精神落地见效。</w:t>
      </w:r>
    </w:p>
    <w:p>
      <w:pPr>
        <w:ind w:firstLine="620" w:firstLineChars="200"/>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方正楷体_GBK" w:cs="Times New Roman"/>
          <w:color w:val="auto"/>
          <w:sz w:val="31"/>
          <w:szCs w:val="31"/>
          <w:highlight w:val="none"/>
          <w:lang w:eastAsia="zh-CN"/>
        </w:rPr>
        <w:t>（</w:t>
      </w:r>
      <w:r>
        <w:rPr>
          <w:rFonts w:hint="default" w:ascii="Times New Roman" w:hAnsi="Times New Roman" w:eastAsia="方正楷体_GBK" w:cs="Times New Roman"/>
          <w:color w:val="auto"/>
          <w:sz w:val="31"/>
          <w:szCs w:val="31"/>
          <w:highlight w:val="none"/>
          <w:lang w:val="en-US" w:eastAsia="zh-CN"/>
        </w:rPr>
        <w:t>5</w:t>
      </w:r>
      <w:r>
        <w:rPr>
          <w:rFonts w:hint="default" w:ascii="Times New Roman" w:hAnsi="Times New Roman" w:eastAsia="方正楷体_GBK" w:cs="Times New Roman"/>
          <w:color w:val="auto"/>
          <w:sz w:val="31"/>
          <w:szCs w:val="31"/>
          <w:highlight w:val="none"/>
          <w:lang w:eastAsia="zh-CN"/>
        </w:rPr>
        <w:t>）做好国安办各项工作。</w:t>
      </w:r>
      <w:r>
        <w:rPr>
          <w:rFonts w:hint="default" w:ascii="Times New Roman" w:hAnsi="Times New Roman" w:eastAsia="仿宋" w:cs="Times New Roman"/>
          <w:b w:val="0"/>
          <w:bCs/>
          <w:color w:val="auto"/>
          <w:sz w:val="32"/>
          <w:szCs w:val="32"/>
          <w:highlight w:val="none"/>
          <w:lang w:val="en-US" w:eastAsia="zh-CN"/>
        </w:rPr>
        <w:t>深入开展各领域安全风险隐患排除，持续提升情报信息搜集、风险排查预警、建立人民防线等方面能力。各领域安全风险隐患排查每季度一次。</w:t>
      </w:r>
    </w:p>
    <w:p>
      <w:pPr>
        <w:ind w:firstLine="640" w:firstLineChars="200"/>
        <w:rPr>
          <w:rFonts w:hint="default" w:ascii="Times New Roman" w:hAnsi="Times New Roman" w:cs="Times New Roman"/>
          <w:color w:val="auto"/>
          <w:sz w:val="32"/>
          <w:szCs w:val="32"/>
          <w:highlight w:val="none"/>
        </w:rPr>
      </w:pP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val="en-US" w:eastAsia="zh-CN"/>
        </w:rPr>
        <w:t>6</w:t>
      </w:r>
      <w:r>
        <w:rPr>
          <w:rFonts w:hint="default" w:ascii="Times New Roman" w:hAnsi="Times New Roman" w:eastAsia="方正楷体_GBK" w:cs="Times New Roman"/>
          <w:color w:val="auto"/>
          <w:sz w:val="32"/>
          <w:szCs w:val="32"/>
          <w:highlight w:val="none"/>
        </w:rPr>
        <w:t>）</w:t>
      </w:r>
      <w:r>
        <w:rPr>
          <w:rFonts w:hint="default" w:ascii="Times New Roman" w:hAnsi="Times New Roman" w:eastAsia="方正楷体_GBK" w:cs="Times New Roman"/>
          <w:color w:val="auto"/>
          <w:sz w:val="32"/>
          <w:szCs w:val="32"/>
          <w:highlight w:val="none"/>
          <w:lang w:eastAsia="zh-CN"/>
        </w:rPr>
        <w:t>扎实推进</w:t>
      </w:r>
      <w:r>
        <w:rPr>
          <w:rFonts w:hint="default" w:ascii="Times New Roman" w:hAnsi="Times New Roman" w:eastAsia="方正楷体_GBK" w:cs="Times New Roman"/>
          <w:color w:val="auto"/>
          <w:sz w:val="32"/>
          <w:szCs w:val="32"/>
          <w:highlight w:val="none"/>
        </w:rPr>
        <w:t>档案工作。</w:t>
      </w:r>
      <w:r>
        <w:rPr>
          <w:rFonts w:hint="default" w:ascii="Times New Roman" w:hAnsi="Times New Roman" w:eastAsia="仿宋" w:cs="Times New Roman"/>
          <w:b w:val="0"/>
          <w:bCs/>
          <w:color w:val="auto"/>
          <w:sz w:val="32"/>
          <w:szCs w:val="32"/>
          <w:highlight w:val="none"/>
          <w:lang w:val="en-US" w:eastAsia="zh-CN"/>
        </w:rPr>
        <w:t>扎实做好党史资料日常积累和收集，全力做好《库尔勒市全面小康志》编纂工作。</w:t>
      </w:r>
    </w:p>
    <w:p>
      <w:pPr>
        <w:pStyle w:val="2"/>
        <w:pageBreakBefore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highlight w:val="none"/>
          <w:lang w:val="en-US" w:eastAsia="zh-CN"/>
        </w:rPr>
      </w:pPr>
      <w:r>
        <w:rPr>
          <w:rFonts w:hint="default" w:ascii="Times New Roman" w:hAnsi="Times New Roman" w:eastAsia="黑体" w:cs="Times New Roman"/>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rPr>
        <w:t>中共库尔勒市</w:t>
      </w:r>
      <w:r>
        <w:rPr>
          <w:rStyle w:val="10"/>
          <w:rFonts w:hint="default" w:ascii="Times New Roman" w:hAnsi="Times New Roman" w:eastAsia="仿宋" w:cs="Times New Roman"/>
          <w:b w:val="0"/>
          <w:bCs/>
          <w:color w:val="auto"/>
          <w:spacing w:val="-4"/>
          <w:sz w:val="32"/>
          <w:szCs w:val="32"/>
          <w:highlight w:val="none"/>
          <w:lang w:eastAsia="zh-CN"/>
        </w:rPr>
        <w:t>委员会</w:t>
      </w:r>
      <w:r>
        <w:rPr>
          <w:rStyle w:val="10"/>
          <w:rFonts w:hint="default" w:ascii="Times New Roman" w:hAnsi="Times New Roman" w:eastAsia="仿宋" w:cs="Times New Roman"/>
          <w:b w:val="0"/>
          <w:bCs/>
          <w:color w:val="auto"/>
          <w:spacing w:val="-4"/>
          <w:sz w:val="32"/>
          <w:szCs w:val="32"/>
          <w:highlight w:val="none"/>
        </w:rPr>
        <w:t>办公室</w:t>
      </w:r>
      <w:r>
        <w:rPr>
          <w:rStyle w:val="10"/>
          <w:rFonts w:hint="default" w:ascii="Times New Roman" w:hAnsi="Times New Roman" w:eastAsia="仿宋" w:cs="Times New Roman"/>
          <w:b w:val="0"/>
          <w:bCs/>
          <w:color w:val="auto"/>
          <w:spacing w:val="-4"/>
          <w:sz w:val="32"/>
          <w:szCs w:val="32"/>
          <w:highlight w:val="none"/>
          <w:lang w:val="en-US" w:eastAsia="zh-CN"/>
        </w:rPr>
        <w:t>2023年通过本部门预算支出，确保了</w:t>
      </w:r>
      <w:r>
        <w:rPr>
          <w:rStyle w:val="10"/>
          <w:rFonts w:hint="eastAsia" w:ascii="Times New Roman" w:hAnsi="Times New Roman" w:eastAsia="仿宋" w:cs="Times New Roman"/>
          <w:b w:val="0"/>
          <w:bCs/>
          <w:color w:val="auto"/>
          <w:spacing w:val="-4"/>
          <w:sz w:val="32"/>
          <w:szCs w:val="32"/>
          <w:highlight w:val="none"/>
          <w:lang w:val="en-US" w:eastAsia="zh-CN"/>
        </w:rPr>
        <w:t>44</w:t>
      </w:r>
      <w:r>
        <w:rPr>
          <w:rStyle w:val="10"/>
          <w:rFonts w:hint="default" w:ascii="Times New Roman" w:hAnsi="Times New Roman" w:eastAsia="仿宋" w:cs="Times New Roman"/>
          <w:b w:val="0"/>
          <w:bCs/>
          <w:color w:val="auto"/>
          <w:spacing w:val="-4"/>
          <w:sz w:val="32"/>
          <w:szCs w:val="32"/>
          <w:highlight w:val="none"/>
          <w:lang w:val="en-US" w:eastAsia="zh-CN"/>
        </w:rPr>
        <w:t>名在职人员的工资、津贴、补贴、社保、绩效、公积金等</w:t>
      </w:r>
      <w:r>
        <w:rPr>
          <w:rStyle w:val="10"/>
          <w:rFonts w:hint="default" w:ascii="Times New Roman" w:hAnsi="Times New Roman" w:eastAsia="仿宋" w:cs="Times New Roman"/>
          <w:b w:val="0"/>
          <w:bCs/>
          <w:color w:val="auto"/>
          <w:spacing w:val="-4"/>
          <w:sz w:val="32"/>
          <w:szCs w:val="32"/>
          <w:highlight w:val="none"/>
          <w:lang w:val="en-US" w:eastAsia="zh-CN"/>
        </w:rPr>
        <w:t>以及</w:t>
      </w:r>
      <w:r>
        <w:rPr>
          <w:rStyle w:val="10"/>
          <w:rFonts w:hint="eastAsia" w:ascii="Times New Roman" w:hAnsi="Times New Roman" w:eastAsia="仿宋" w:cs="Times New Roman"/>
          <w:b w:val="0"/>
          <w:bCs/>
          <w:color w:val="auto"/>
          <w:spacing w:val="-4"/>
          <w:sz w:val="32"/>
          <w:szCs w:val="32"/>
          <w:highlight w:val="none"/>
          <w:lang w:val="en-US" w:eastAsia="zh-CN"/>
        </w:rPr>
        <w:t>18</w:t>
      </w:r>
      <w:r>
        <w:rPr>
          <w:rStyle w:val="10"/>
          <w:rFonts w:hint="default" w:ascii="Times New Roman" w:hAnsi="Times New Roman" w:eastAsia="仿宋" w:cs="Times New Roman"/>
          <w:b w:val="0"/>
          <w:bCs/>
          <w:color w:val="auto"/>
          <w:spacing w:val="-4"/>
          <w:sz w:val="32"/>
          <w:szCs w:val="32"/>
          <w:highlight w:val="none"/>
          <w:lang w:val="en-US" w:eastAsia="zh-CN"/>
        </w:rPr>
        <w:t>名离退休人员的工资、医疗费等。</w:t>
      </w:r>
      <w:r>
        <w:rPr>
          <w:rStyle w:val="10"/>
          <w:rFonts w:hint="default" w:ascii="Times New Roman" w:hAnsi="Times New Roman" w:eastAsia="仿宋" w:cs="Times New Roman"/>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2023年我部门年初安排预算数为</w:t>
      </w:r>
      <w:r>
        <w:rPr>
          <w:rFonts w:hint="default" w:ascii="Times New Roman" w:hAnsi="Times New Roman" w:eastAsia="仿宋" w:cs="Times New Roman"/>
          <w:color w:val="auto"/>
          <w:sz w:val="32"/>
          <w:szCs w:val="32"/>
          <w:highlight w:val="none"/>
          <w:lang w:val="en-US" w:eastAsia="zh-CN"/>
        </w:rPr>
        <w:t>865.84</w:t>
      </w:r>
      <w:r>
        <w:rPr>
          <w:rFonts w:hint="default" w:ascii="Times New Roman" w:hAnsi="Times New Roman" w:eastAsia="仿宋" w:cs="Times New Roman"/>
          <w:color w:val="auto"/>
          <w:sz w:val="32"/>
          <w:szCs w:val="32"/>
          <w:highlight w:val="none"/>
          <w:lang w:val="en-US" w:eastAsia="zh-CN"/>
        </w:rPr>
        <w:t>万元，其中</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上级安排</w:t>
      </w:r>
      <w:r>
        <w:rPr>
          <w:rFonts w:hint="eastAsia"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lang w:val="en-US" w:eastAsia="zh-CN"/>
        </w:rPr>
        <w:t>万元</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本级安排</w:t>
      </w:r>
      <w:r>
        <w:rPr>
          <w:rFonts w:hint="default" w:ascii="Times New Roman" w:hAnsi="Times New Roman" w:eastAsia="仿宋" w:cs="Times New Roman"/>
          <w:color w:val="auto"/>
          <w:sz w:val="32"/>
          <w:szCs w:val="32"/>
          <w:highlight w:val="none"/>
          <w:lang w:val="en-US" w:eastAsia="zh-CN"/>
        </w:rPr>
        <w:t>865.84</w:t>
      </w:r>
      <w:r>
        <w:rPr>
          <w:rFonts w:hint="default" w:ascii="Times New Roman" w:hAnsi="Times New Roman" w:eastAsia="仿宋" w:cs="Times New Roman"/>
          <w:color w:val="auto"/>
          <w:sz w:val="32"/>
          <w:szCs w:val="32"/>
          <w:highlight w:val="none"/>
          <w:lang w:val="en-US" w:eastAsia="zh-CN"/>
        </w:rPr>
        <w:t>万元，其他资金</w:t>
      </w:r>
      <w:r>
        <w:rPr>
          <w:rFonts w:hint="eastAsia"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lang w:val="en-US" w:eastAsia="zh-CN"/>
        </w:rPr>
        <w:t>万元。</w:t>
      </w:r>
    </w:p>
    <w:p>
      <w:pPr>
        <w:pStyle w:val="2"/>
        <w:keepNext/>
        <w:keepLines/>
        <w:pageBreakBefore w:val="0"/>
        <w:widowControl w:val="0"/>
        <w:kinsoku/>
        <w:wordWrap/>
        <w:overflowPunct/>
        <w:topLinePunct w:val="0"/>
        <w:autoSpaceDE/>
        <w:autoSpaceDN/>
        <w:bidi w:val="0"/>
        <w:adjustRightInd/>
        <w:snapToGrid/>
        <w:ind w:firstLine="616" w:firstLineChars="200"/>
        <w:textAlignment w:val="auto"/>
        <w:rPr>
          <w:rFonts w:hint="default" w:ascii="Times New Roman" w:hAnsi="Times New Roman" w:eastAsia="仿宋" w:cs="Times New Roman"/>
          <w:b w:val="0"/>
          <w:bCs w:val="0"/>
          <w:color w:val="auto"/>
          <w:kern w:val="2"/>
          <w:sz w:val="32"/>
          <w:szCs w:val="32"/>
          <w:highlight w:val="none"/>
          <w:lang w:val="en-US" w:eastAsia="zh-CN" w:bidi="ar-SA"/>
        </w:rPr>
      </w:pPr>
      <w:r>
        <w:rPr>
          <w:rFonts w:hint="default" w:ascii="Times New Roman" w:hAnsi="Times New Roman" w:eastAsia="仿宋" w:cs="Times New Roman"/>
          <w:b w:val="0"/>
          <w:bCs w:val="0"/>
          <w:color w:val="auto"/>
          <w:spacing w:val="-6"/>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我部门年初安排预算数</w:t>
      </w:r>
      <w:r>
        <w:rPr>
          <w:rFonts w:hint="default" w:ascii="Times New Roman" w:hAnsi="Times New Roman" w:eastAsia="仿宋" w:cs="Times New Roman"/>
          <w:color w:val="auto"/>
          <w:sz w:val="32"/>
          <w:szCs w:val="32"/>
          <w:highlight w:val="none"/>
          <w:lang w:val="en-US" w:eastAsia="zh-CN"/>
        </w:rPr>
        <w:t>865.84</w:t>
      </w:r>
      <w:r>
        <w:rPr>
          <w:rFonts w:hint="default" w:ascii="Times New Roman" w:hAnsi="Times New Roman" w:eastAsia="仿宋" w:cs="Times New Roman"/>
          <w:b w:val="0"/>
          <w:bCs/>
          <w:color w:val="auto"/>
          <w:sz w:val="32"/>
          <w:szCs w:val="32"/>
          <w:highlight w:val="none"/>
          <w:lang w:val="en-US" w:eastAsia="zh-CN"/>
        </w:rPr>
        <w:t>万元，年中调整数</w:t>
      </w:r>
      <w:r>
        <w:rPr>
          <w:rFonts w:hint="eastAsia" w:ascii="Times New Roman" w:hAnsi="Times New Roman" w:eastAsia="仿宋" w:cs="Times New Roman"/>
          <w:b w:val="0"/>
          <w:bCs/>
          <w:color w:val="auto"/>
          <w:sz w:val="32"/>
          <w:szCs w:val="32"/>
          <w:highlight w:val="none"/>
          <w:lang w:val="en-US" w:eastAsia="zh-CN"/>
        </w:rPr>
        <w:t>+52.64</w:t>
      </w:r>
      <w:r>
        <w:rPr>
          <w:rFonts w:hint="default" w:ascii="Times New Roman" w:hAnsi="Times New Roman" w:eastAsia="仿宋" w:cs="Times New Roman"/>
          <w:b w:val="0"/>
          <w:bCs/>
          <w:color w:val="auto"/>
          <w:sz w:val="32"/>
          <w:szCs w:val="32"/>
          <w:highlight w:val="none"/>
          <w:lang w:val="en-US" w:eastAsia="zh-CN"/>
        </w:rPr>
        <w:t>万元，调整后全年预算数</w:t>
      </w:r>
      <w:r>
        <w:rPr>
          <w:rFonts w:hint="default" w:ascii="Times New Roman" w:hAnsi="Times New Roman" w:eastAsia="仿宋" w:cs="Times New Roman"/>
          <w:b w:val="0"/>
          <w:bCs/>
          <w:color w:val="auto"/>
          <w:sz w:val="32"/>
          <w:szCs w:val="32"/>
          <w:highlight w:val="none"/>
          <w:lang w:val="en-US" w:eastAsia="zh-CN"/>
        </w:rPr>
        <w:t>918.48</w:t>
      </w:r>
      <w:r>
        <w:rPr>
          <w:rFonts w:hint="default" w:ascii="Times New Roman" w:hAnsi="Times New Roman" w:eastAsia="仿宋" w:cs="Times New Roman"/>
          <w:b w:val="0"/>
          <w:bCs/>
          <w:color w:val="auto"/>
          <w:sz w:val="32"/>
          <w:szCs w:val="32"/>
          <w:highlight w:val="none"/>
          <w:lang w:val="en-US" w:eastAsia="zh-CN"/>
        </w:rPr>
        <w:t>万元，预算调整率</w:t>
      </w:r>
      <w:r>
        <w:rPr>
          <w:rFonts w:hint="eastAsia" w:ascii="Times New Roman" w:hAnsi="Times New Roman" w:eastAsia="仿宋" w:cs="Times New Roman"/>
          <w:b w:val="0"/>
          <w:bCs/>
          <w:color w:val="auto"/>
          <w:sz w:val="32"/>
          <w:szCs w:val="32"/>
          <w:highlight w:val="none"/>
          <w:lang w:val="en-US" w:eastAsia="zh-CN"/>
        </w:rPr>
        <w:t>6.08</w:t>
      </w:r>
      <w:r>
        <w:rPr>
          <w:rFonts w:hint="default"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b w:val="0"/>
          <w:bCs/>
          <w:color w:val="auto"/>
          <w:kern w:val="2"/>
          <w:sz w:val="32"/>
          <w:szCs w:val="32"/>
          <w:highlight w:val="none"/>
          <w:lang w:val="en-US" w:eastAsia="zh-CN" w:bidi="ar-SA"/>
        </w:rPr>
      </w:pPr>
      <w:r>
        <w:rPr>
          <w:rFonts w:hint="default" w:ascii="Times New Roman" w:hAnsi="Times New Roman" w:eastAsia="仿宋" w:cs="Times New Roman"/>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eastAsia="zh-CN"/>
        </w:rPr>
      </w:pPr>
      <w:r>
        <w:rPr>
          <w:rFonts w:hint="default" w:ascii="Times New Roman" w:hAnsi="Times New Roman" w:eastAsia="黑体" w:cs="Times New Roman"/>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我单位2023年度部门整体支出为</w:t>
      </w:r>
      <w:r>
        <w:rPr>
          <w:rFonts w:hint="default" w:ascii="Times New Roman" w:hAnsi="Times New Roman" w:eastAsia="仿宋" w:cs="Times New Roman"/>
          <w:b w:val="0"/>
          <w:bCs/>
          <w:color w:val="auto"/>
          <w:sz w:val="32"/>
          <w:szCs w:val="32"/>
          <w:highlight w:val="none"/>
          <w:lang w:val="en-US" w:eastAsia="zh-CN"/>
        </w:rPr>
        <w:t>918.48</w:t>
      </w:r>
      <w:r>
        <w:rPr>
          <w:rFonts w:hint="default" w:ascii="Times New Roman" w:hAnsi="Times New Roman" w:eastAsia="仿宋" w:cs="Times New Roman"/>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（1）基本支出771</w:t>
      </w:r>
      <w:r>
        <w:rPr>
          <w:rFonts w:hint="eastAsia" w:ascii="Times New Roman" w:hAnsi="Times New Roman" w:eastAsia="仿宋" w:cs="Times New Roman"/>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6</w:t>
      </w:r>
      <w:r>
        <w:rPr>
          <w:rFonts w:hint="eastAsia" w:ascii="Times New Roman" w:hAnsi="Times New Roman" w:eastAsia="仿宋" w:cs="Times New Roman"/>
          <w:color w:val="auto"/>
          <w:kern w:val="2"/>
          <w:sz w:val="32"/>
          <w:szCs w:val="32"/>
          <w:highlight w:val="none"/>
          <w:lang w:val="en-US" w:eastAsia="zh-CN" w:bidi="ar-SA"/>
        </w:rPr>
        <w:t>3</w:t>
      </w:r>
      <w:r>
        <w:rPr>
          <w:rFonts w:hint="default" w:ascii="Times New Roman" w:hAnsi="Times New Roman" w:eastAsia="仿宋" w:cs="Times New Roman"/>
          <w:color w:val="auto"/>
          <w:sz w:val="32"/>
          <w:szCs w:val="32"/>
          <w:highlight w:val="none"/>
          <w:lang w:val="en-US" w:eastAsia="zh-CN"/>
        </w:rPr>
        <w:t>万元，主要用于：</w:t>
      </w:r>
      <w:r>
        <w:rPr>
          <w:rFonts w:hint="default" w:ascii="Times New Roman" w:hAnsi="Times New Roman" w:eastAsia="仿宋" w:cs="Times New Roman"/>
          <w:color w:val="auto"/>
          <w:kern w:val="2"/>
          <w:sz w:val="32"/>
          <w:szCs w:val="32"/>
          <w:highlight w:val="none"/>
          <w:lang w:val="en-US" w:eastAsia="zh-CN" w:bidi="ar-SA"/>
        </w:rPr>
        <w:t>基本工资、津贴补贴、奖金、机关事业单位基本养老保险缴费、职业年金缴费、职工基本医疗保险缴费、</w:t>
      </w:r>
      <w:r>
        <w:rPr>
          <w:rFonts w:hint="default" w:ascii="Times New Roman" w:hAnsi="Times New Roman" w:eastAsia="仿宋" w:cs="Times New Roman"/>
          <w:color w:val="auto"/>
          <w:sz w:val="32"/>
          <w:szCs w:val="32"/>
          <w:highlight w:val="none"/>
          <w:lang w:val="en-US" w:eastAsia="zh-CN"/>
        </w:rPr>
        <w:t>办公费、差旅费、维修（护）费、福利费、</w:t>
      </w:r>
      <w:r>
        <w:rPr>
          <w:rFonts w:hint="default" w:ascii="Times New Roman" w:hAnsi="Times New Roman" w:eastAsia="仿宋" w:cs="Times New Roman"/>
          <w:color w:val="auto"/>
          <w:kern w:val="2"/>
          <w:sz w:val="32"/>
          <w:szCs w:val="32"/>
          <w:highlight w:val="none"/>
          <w:lang w:val="en-US" w:eastAsia="zh-CN" w:bidi="ar-SA"/>
        </w:rPr>
        <w:t>退休费</w:t>
      </w:r>
      <w:r>
        <w:rPr>
          <w:rFonts w:hint="default" w:ascii="Times New Roman" w:hAnsi="Times New Roman" w:eastAsia="仿宋" w:cs="Times New Roman"/>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bidi="ar-SA"/>
        </w:rPr>
        <w:t>（2）项目支出</w:t>
      </w:r>
      <w:r>
        <w:rPr>
          <w:rFonts w:hint="default" w:ascii="Times New Roman" w:hAnsi="Times New Roman" w:eastAsia="仿宋" w:cs="Times New Roman"/>
          <w:b w:val="0"/>
          <w:bCs/>
          <w:color w:val="auto"/>
          <w:sz w:val="32"/>
          <w:szCs w:val="32"/>
          <w:highlight w:val="none"/>
          <w:lang w:val="en-US" w:eastAsia="zh-CN"/>
        </w:rPr>
        <w:t>146</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w:t>
      </w:r>
      <w:r>
        <w:rPr>
          <w:rFonts w:hint="eastAsia" w:ascii="Times New Roman" w:hAnsi="Times New Roman" w:eastAsia="仿宋" w:cs="Times New Roman"/>
          <w:b w:val="0"/>
          <w:bCs/>
          <w:color w:val="auto"/>
          <w:sz w:val="32"/>
          <w:szCs w:val="32"/>
          <w:highlight w:val="none"/>
          <w:lang w:val="en-US" w:eastAsia="zh-CN"/>
        </w:rPr>
        <w:t>5</w:t>
      </w:r>
      <w:r>
        <w:rPr>
          <w:rFonts w:hint="default" w:ascii="Times New Roman" w:hAnsi="Times New Roman" w:eastAsia="仿宋" w:cs="Times New Roman"/>
          <w:color w:val="auto"/>
          <w:sz w:val="32"/>
          <w:szCs w:val="32"/>
          <w:highlight w:val="none"/>
          <w:lang w:val="en-US" w:eastAsia="zh-CN"/>
        </w:rPr>
        <w:t>万元，主要用于</w:t>
      </w:r>
      <w:r>
        <w:rPr>
          <w:rFonts w:hint="default" w:ascii="Times New Roman" w:hAnsi="Times New Roman" w:eastAsia="仿宋" w:cs="Times New Roman"/>
          <w:b w:val="0"/>
          <w:bCs w:val="0"/>
          <w:color w:val="auto"/>
          <w:kern w:val="2"/>
          <w:sz w:val="32"/>
          <w:szCs w:val="32"/>
          <w:highlight w:val="none"/>
          <w:lang w:val="en-US" w:eastAsia="zh-CN" w:bidi="ar-SA"/>
        </w:rPr>
        <w:t>表彰相关经费项目23</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4</w:t>
      </w:r>
      <w:r>
        <w:rPr>
          <w:rFonts w:hint="eastAsia" w:ascii="Times New Roman" w:hAnsi="Times New Roman" w:eastAsia="仿宋" w:cs="Times New Roman"/>
          <w:b w:val="0"/>
          <w:bCs w:val="0"/>
          <w:color w:val="auto"/>
          <w:kern w:val="2"/>
          <w:sz w:val="32"/>
          <w:szCs w:val="32"/>
          <w:highlight w:val="none"/>
          <w:lang w:val="en-US" w:eastAsia="zh-CN" w:bidi="ar-SA"/>
        </w:rPr>
        <w:t>6</w:t>
      </w:r>
      <w:r>
        <w:rPr>
          <w:rFonts w:hint="default" w:ascii="Times New Roman" w:hAnsi="Times New Roman" w:eastAsia="仿宋" w:cs="Times New Roman"/>
          <w:b w:val="0"/>
          <w:bCs w:val="0"/>
          <w:color w:val="auto"/>
          <w:kern w:val="2"/>
          <w:sz w:val="32"/>
          <w:szCs w:val="32"/>
          <w:highlight w:val="none"/>
          <w:lang w:val="en-US" w:eastAsia="zh-CN" w:bidi="ar-SA"/>
        </w:rPr>
        <w:t>万元、部门专项-党委办公室业务费项目</w:t>
      </w:r>
      <w:r>
        <w:rPr>
          <w:rFonts w:hint="eastAsia" w:ascii="Times New Roman" w:hAnsi="Times New Roman" w:eastAsia="仿宋" w:cs="Times New Roman"/>
          <w:b w:val="0"/>
          <w:bCs w:val="0"/>
          <w:color w:val="auto"/>
          <w:kern w:val="2"/>
          <w:sz w:val="32"/>
          <w:szCs w:val="32"/>
          <w:highlight w:val="none"/>
          <w:lang w:val="en-US" w:eastAsia="zh-CN" w:bidi="ar-SA"/>
        </w:rPr>
        <w:t>29.99</w:t>
      </w:r>
      <w:r>
        <w:rPr>
          <w:rFonts w:hint="default" w:ascii="Times New Roman" w:hAnsi="Times New Roman" w:eastAsia="仿宋" w:cs="Times New Roman"/>
          <w:b w:val="0"/>
          <w:bCs w:val="0"/>
          <w:color w:val="auto"/>
          <w:kern w:val="2"/>
          <w:sz w:val="32"/>
          <w:szCs w:val="32"/>
          <w:highlight w:val="none"/>
          <w:lang w:val="en-US" w:eastAsia="zh-CN" w:bidi="ar-SA"/>
        </w:rPr>
        <w:t>万元</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部门专项-年鉴项目（档案项目）</w:t>
      </w:r>
      <w:r>
        <w:rPr>
          <w:rFonts w:hint="eastAsia" w:ascii="Times New Roman" w:hAnsi="Times New Roman" w:eastAsia="仿宋" w:cs="Times New Roman"/>
          <w:b w:val="0"/>
          <w:bCs w:val="0"/>
          <w:color w:val="auto"/>
          <w:kern w:val="2"/>
          <w:sz w:val="32"/>
          <w:szCs w:val="32"/>
          <w:highlight w:val="none"/>
          <w:lang w:val="en-US" w:eastAsia="zh-CN" w:bidi="ar-SA"/>
        </w:rPr>
        <w:t>10.00</w:t>
      </w:r>
      <w:r>
        <w:rPr>
          <w:rFonts w:hint="default" w:ascii="Times New Roman" w:hAnsi="Times New Roman" w:eastAsia="仿宋" w:cs="Times New Roman"/>
          <w:b w:val="0"/>
          <w:bCs w:val="0"/>
          <w:color w:val="auto"/>
          <w:kern w:val="2"/>
          <w:sz w:val="32"/>
          <w:szCs w:val="32"/>
          <w:highlight w:val="none"/>
          <w:lang w:val="en-US" w:eastAsia="zh-CN" w:bidi="ar-SA"/>
        </w:rPr>
        <w:t>万元、部门专项-专业通信局业务经费项目36</w:t>
      </w:r>
      <w:r>
        <w:rPr>
          <w:rFonts w:hint="eastAsia" w:ascii="Times New Roman" w:hAnsi="Times New Roman" w:eastAsia="仿宋" w:cs="Times New Roman"/>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2</w:t>
      </w:r>
      <w:r>
        <w:rPr>
          <w:rFonts w:hint="eastAsia" w:ascii="Times New Roman" w:hAnsi="Times New Roman" w:eastAsia="仿宋" w:cs="Times New Roman"/>
          <w:b w:val="0"/>
          <w:bCs w:val="0"/>
          <w:color w:val="auto"/>
          <w:kern w:val="2"/>
          <w:sz w:val="32"/>
          <w:szCs w:val="32"/>
          <w:highlight w:val="none"/>
          <w:lang w:val="en-US" w:eastAsia="zh-CN" w:bidi="ar-SA"/>
        </w:rPr>
        <w:t>7</w:t>
      </w:r>
      <w:r>
        <w:rPr>
          <w:rFonts w:hint="default" w:ascii="Times New Roman" w:hAnsi="Times New Roman" w:eastAsia="仿宋" w:cs="Times New Roman"/>
          <w:b w:val="0"/>
          <w:bCs w:val="0"/>
          <w:color w:val="auto"/>
          <w:kern w:val="2"/>
          <w:sz w:val="32"/>
          <w:szCs w:val="32"/>
          <w:highlight w:val="none"/>
          <w:lang w:val="en-US" w:eastAsia="zh-CN" w:bidi="ar-SA"/>
        </w:rPr>
        <w:t>万元、节日慰问金项目</w:t>
      </w:r>
      <w:r>
        <w:rPr>
          <w:rFonts w:hint="eastAsia" w:ascii="Times New Roman" w:hAnsi="Times New Roman" w:eastAsia="仿宋" w:cs="Times New Roman"/>
          <w:b w:val="0"/>
          <w:bCs w:val="0"/>
          <w:color w:val="auto"/>
          <w:kern w:val="2"/>
          <w:sz w:val="32"/>
          <w:szCs w:val="32"/>
          <w:highlight w:val="none"/>
          <w:lang w:val="en-US" w:eastAsia="zh-CN" w:bidi="ar-SA"/>
        </w:rPr>
        <w:t>10.00</w:t>
      </w:r>
      <w:r>
        <w:rPr>
          <w:rFonts w:hint="default" w:ascii="Times New Roman" w:hAnsi="Times New Roman" w:eastAsia="仿宋" w:cs="Times New Roman"/>
          <w:b w:val="0"/>
          <w:bCs w:val="0"/>
          <w:color w:val="auto"/>
          <w:kern w:val="2"/>
          <w:sz w:val="32"/>
          <w:szCs w:val="32"/>
          <w:highlight w:val="none"/>
          <w:lang w:val="en-US" w:eastAsia="zh-CN" w:bidi="ar-SA"/>
        </w:rPr>
        <w:t>万元、延续项目-购买25台涉密计算机替代专项经费项目</w:t>
      </w:r>
      <w:r>
        <w:rPr>
          <w:rFonts w:hint="eastAsia" w:ascii="Times New Roman" w:hAnsi="Times New Roman" w:eastAsia="仿宋" w:cs="Times New Roman"/>
          <w:b w:val="0"/>
          <w:bCs w:val="0"/>
          <w:color w:val="auto"/>
          <w:kern w:val="2"/>
          <w:sz w:val="32"/>
          <w:szCs w:val="32"/>
          <w:highlight w:val="none"/>
          <w:lang w:val="en-US" w:eastAsia="zh-CN" w:bidi="ar-SA"/>
        </w:rPr>
        <w:t>37.13</w:t>
      </w:r>
      <w:r>
        <w:rPr>
          <w:rFonts w:hint="default" w:ascii="Times New Roman" w:hAnsi="Times New Roman" w:eastAsia="仿宋" w:cs="Times New Roman"/>
          <w:b w:val="0"/>
          <w:bCs w:val="0"/>
          <w:color w:val="auto"/>
          <w:kern w:val="2"/>
          <w:sz w:val="32"/>
          <w:szCs w:val="32"/>
          <w:highlight w:val="none"/>
          <w:lang w:val="en-US" w:eastAsia="zh-CN" w:bidi="ar-SA"/>
        </w:rPr>
        <w:t>万元</w:t>
      </w:r>
      <w:r>
        <w:rPr>
          <w:rFonts w:hint="default" w:ascii="Times New Roman" w:hAnsi="Times New Roman" w:eastAsia="仿宋" w:cs="Times New Roman"/>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2023年我部门基本支出年初预算安排</w:t>
      </w:r>
      <w:r>
        <w:rPr>
          <w:rFonts w:hint="default" w:ascii="Times New Roman" w:hAnsi="Times New Roman" w:eastAsia="仿宋" w:cs="Times New Roman"/>
          <w:b w:val="0"/>
          <w:bCs/>
          <w:color w:val="auto"/>
          <w:sz w:val="32"/>
          <w:szCs w:val="32"/>
          <w:highlight w:val="none"/>
          <w:lang w:val="en-US" w:eastAsia="zh-CN"/>
        </w:rPr>
        <w:t>745</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84</w:t>
      </w:r>
      <w:r>
        <w:rPr>
          <w:rFonts w:hint="default" w:ascii="Times New Roman" w:hAnsi="Times New Roman" w:eastAsia="仿宋" w:cs="Times New Roman"/>
          <w:b w:val="0"/>
          <w:bCs/>
          <w:color w:val="auto"/>
          <w:sz w:val="32"/>
          <w:szCs w:val="32"/>
          <w:highlight w:val="none"/>
          <w:lang w:val="en-US" w:eastAsia="zh-CN"/>
        </w:rPr>
        <w:t>万元，全年预算数</w:t>
      </w:r>
      <w:r>
        <w:rPr>
          <w:rFonts w:hint="default" w:ascii="Times New Roman" w:hAnsi="Times New Roman" w:eastAsia="仿宋" w:cs="Times New Roman"/>
          <w:b w:val="0"/>
          <w:bCs/>
          <w:color w:val="auto"/>
          <w:sz w:val="32"/>
          <w:szCs w:val="32"/>
          <w:highlight w:val="none"/>
          <w:lang w:val="en-US" w:eastAsia="zh-CN"/>
        </w:rPr>
        <w:t>771</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6</w:t>
      </w:r>
      <w:r>
        <w:rPr>
          <w:rFonts w:hint="eastAsia" w:ascii="Times New Roman" w:hAnsi="Times New Roman" w:eastAsia="仿宋" w:cs="Times New Roman"/>
          <w:b w:val="0"/>
          <w:bCs/>
          <w:color w:val="auto"/>
          <w:sz w:val="32"/>
          <w:szCs w:val="32"/>
          <w:highlight w:val="none"/>
          <w:lang w:val="en-US" w:eastAsia="zh-CN"/>
        </w:rPr>
        <w:t>3</w:t>
      </w:r>
      <w:r>
        <w:rPr>
          <w:rFonts w:hint="default" w:ascii="Times New Roman" w:hAnsi="Times New Roman" w:eastAsia="仿宋" w:cs="Times New Roman"/>
          <w:b w:val="0"/>
          <w:bCs/>
          <w:color w:val="auto"/>
          <w:sz w:val="32"/>
          <w:szCs w:val="32"/>
          <w:highlight w:val="none"/>
          <w:lang w:val="en-US" w:eastAsia="zh-CN"/>
        </w:rPr>
        <w:t>万元，全年实际支出数</w:t>
      </w:r>
      <w:r>
        <w:rPr>
          <w:rFonts w:hint="default" w:ascii="Times New Roman" w:hAnsi="Times New Roman" w:eastAsia="仿宋" w:cs="Times New Roman"/>
          <w:b w:val="0"/>
          <w:bCs/>
          <w:color w:val="auto"/>
          <w:sz w:val="32"/>
          <w:szCs w:val="32"/>
          <w:highlight w:val="none"/>
          <w:lang w:val="en-US" w:eastAsia="zh-CN"/>
        </w:rPr>
        <w:t>771</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6</w:t>
      </w:r>
      <w:r>
        <w:rPr>
          <w:rFonts w:hint="eastAsia" w:ascii="Times New Roman" w:hAnsi="Times New Roman" w:eastAsia="仿宋" w:cs="Times New Roman"/>
          <w:b w:val="0"/>
          <w:bCs/>
          <w:color w:val="auto"/>
          <w:sz w:val="32"/>
          <w:szCs w:val="32"/>
          <w:highlight w:val="none"/>
          <w:lang w:val="en-US" w:eastAsia="zh-CN"/>
        </w:rPr>
        <w:t>3</w:t>
      </w:r>
      <w:r>
        <w:rPr>
          <w:rFonts w:hint="default" w:ascii="Times New Roman" w:hAnsi="Times New Roman" w:eastAsia="仿宋" w:cs="Times New Roman"/>
          <w:b w:val="0"/>
          <w:bCs/>
          <w:color w:val="auto"/>
          <w:sz w:val="32"/>
          <w:szCs w:val="32"/>
          <w:highlight w:val="none"/>
          <w:lang w:val="en-US" w:eastAsia="zh-CN"/>
        </w:rPr>
        <w:t>万元，其中：人员经费</w:t>
      </w:r>
      <w:r>
        <w:rPr>
          <w:rFonts w:hint="default" w:ascii="Times New Roman" w:hAnsi="Times New Roman" w:eastAsia="仿宋" w:cs="Times New Roman"/>
          <w:b w:val="0"/>
          <w:bCs/>
          <w:color w:val="auto"/>
          <w:sz w:val="32"/>
          <w:szCs w:val="32"/>
          <w:highlight w:val="none"/>
          <w:lang w:val="en-US" w:eastAsia="zh-CN"/>
        </w:rPr>
        <w:t>702</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16</w:t>
      </w:r>
      <w:r>
        <w:rPr>
          <w:rFonts w:hint="default" w:ascii="Times New Roman" w:hAnsi="Times New Roman" w:eastAsia="仿宋" w:cs="Times New Roman"/>
          <w:b w:val="0"/>
          <w:bCs/>
          <w:color w:val="auto"/>
          <w:sz w:val="32"/>
          <w:szCs w:val="32"/>
          <w:highlight w:val="none"/>
          <w:lang w:val="en-US" w:eastAsia="zh-CN"/>
        </w:rPr>
        <w:t>万元，公用经费</w:t>
      </w:r>
      <w:r>
        <w:rPr>
          <w:rFonts w:hint="default" w:ascii="Times New Roman" w:hAnsi="Times New Roman" w:eastAsia="仿宋" w:cs="Times New Roman"/>
          <w:b w:val="0"/>
          <w:bCs/>
          <w:color w:val="auto"/>
          <w:sz w:val="32"/>
          <w:szCs w:val="32"/>
          <w:highlight w:val="none"/>
          <w:lang w:val="en-US" w:eastAsia="zh-CN"/>
        </w:rPr>
        <w:t>69</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4</w:t>
      </w:r>
      <w:r>
        <w:rPr>
          <w:rFonts w:hint="eastAsia" w:ascii="Times New Roman" w:hAnsi="Times New Roman" w:eastAsia="仿宋" w:cs="Times New Roman"/>
          <w:b w:val="0"/>
          <w:bCs/>
          <w:color w:val="auto"/>
          <w:sz w:val="32"/>
          <w:szCs w:val="32"/>
          <w:highlight w:val="none"/>
          <w:lang w:val="en-US" w:eastAsia="zh-CN"/>
        </w:rPr>
        <w:t>7</w:t>
      </w:r>
      <w:r>
        <w:rPr>
          <w:rFonts w:hint="default" w:ascii="Times New Roman" w:hAnsi="Times New Roman" w:eastAsia="仿宋" w:cs="Times New Roman"/>
          <w:b w:val="0"/>
          <w:bCs/>
          <w:color w:val="auto"/>
          <w:sz w:val="32"/>
          <w:szCs w:val="32"/>
          <w:highlight w:val="none"/>
          <w:lang w:val="en-US" w:eastAsia="zh-CN"/>
        </w:rPr>
        <w:t>万元。全年预算执行率</w:t>
      </w:r>
      <w:r>
        <w:rPr>
          <w:rFonts w:hint="eastAsia" w:ascii="Times New Roman" w:hAnsi="Times New Roman" w:eastAsia="仿宋" w:cs="Times New Roman"/>
          <w:b w:val="0"/>
          <w:bCs/>
          <w:color w:val="auto"/>
          <w:sz w:val="32"/>
          <w:szCs w:val="32"/>
          <w:highlight w:val="none"/>
          <w:lang w:val="en-US" w:eastAsia="zh-CN"/>
        </w:rPr>
        <w:t>100.00</w:t>
      </w:r>
      <w:r>
        <w:rPr>
          <w:rFonts w:hint="default"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default" w:ascii="Times New Roman" w:hAnsi="Times New Roman" w:eastAsia="仿宋" w:cs="Times New Roman"/>
          <w:b w:val="0"/>
          <w:bCs/>
          <w:color w:val="auto"/>
          <w:sz w:val="32"/>
          <w:szCs w:val="32"/>
          <w:highlight w:val="none"/>
          <w:lang w:val="en-US" w:eastAsia="zh-CN"/>
        </w:rPr>
        <w:t>办公费、邮电费、差旅费等。</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rPr>
        <w:t>2023年本单位共安排</w:t>
      </w:r>
      <w:r>
        <w:rPr>
          <w:rFonts w:hint="eastAsia" w:ascii="Times New Roman" w:hAnsi="Times New Roman" w:eastAsia="仿宋" w:cs="Times New Roman"/>
          <w:color w:val="auto"/>
          <w:kern w:val="2"/>
          <w:sz w:val="32"/>
          <w:szCs w:val="32"/>
          <w:highlight w:val="none"/>
          <w:lang w:val="en-US" w:eastAsia="zh-CN"/>
        </w:rPr>
        <w:t>6</w:t>
      </w:r>
      <w:r>
        <w:rPr>
          <w:rFonts w:hint="default" w:ascii="Times New Roman" w:hAnsi="Times New Roman" w:eastAsia="仿宋" w:cs="Times New Roman"/>
          <w:color w:val="auto"/>
          <w:kern w:val="2"/>
          <w:sz w:val="32"/>
          <w:szCs w:val="32"/>
          <w:highlight w:val="none"/>
          <w:lang w:val="en-US" w:eastAsia="zh-CN"/>
        </w:rPr>
        <w:t>个项目，全年预算数为</w:t>
      </w:r>
      <w:r>
        <w:rPr>
          <w:rFonts w:hint="default" w:ascii="Times New Roman" w:hAnsi="Times New Roman" w:eastAsia="仿宋" w:cs="Times New Roman"/>
          <w:b w:val="0"/>
          <w:bCs/>
          <w:color w:val="auto"/>
          <w:sz w:val="32"/>
          <w:szCs w:val="32"/>
          <w:highlight w:val="none"/>
          <w:lang w:val="en-US" w:eastAsia="zh-CN"/>
        </w:rPr>
        <w:t>146</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w:t>
      </w:r>
      <w:r>
        <w:rPr>
          <w:rFonts w:hint="eastAsia" w:ascii="Times New Roman" w:hAnsi="Times New Roman" w:eastAsia="仿宋" w:cs="Times New Roman"/>
          <w:b w:val="0"/>
          <w:bCs/>
          <w:color w:val="auto"/>
          <w:sz w:val="32"/>
          <w:szCs w:val="32"/>
          <w:highlight w:val="none"/>
          <w:lang w:val="en-US" w:eastAsia="zh-CN"/>
        </w:rPr>
        <w:t>5</w:t>
      </w:r>
      <w:r>
        <w:rPr>
          <w:rFonts w:hint="default" w:ascii="Times New Roman" w:hAnsi="Times New Roman" w:eastAsia="仿宋" w:cs="Times New Roman"/>
          <w:color w:val="auto"/>
          <w:kern w:val="2"/>
          <w:sz w:val="32"/>
          <w:szCs w:val="32"/>
          <w:highlight w:val="none"/>
          <w:lang w:val="en-US" w:eastAsia="zh-CN"/>
        </w:rPr>
        <w:t>万元，全年实际支出数</w:t>
      </w:r>
      <w:r>
        <w:rPr>
          <w:rFonts w:hint="default" w:ascii="Times New Roman" w:hAnsi="Times New Roman" w:eastAsia="仿宋" w:cs="Times New Roman"/>
          <w:b w:val="0"/>
          <w:bCs/>
          <w:color w:val="auto"/>
          <w:sz w:val="32"/>
          <w:szCs w:val="32"/>
          <w:highlight w:val="none"/>
          <w:lang w:val="en-US" w:eastAsia="zh-CN"/>
        </w:rPr>
        <w:t>146</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w:t>
      </w:r>
      <w:r>
        <w:rPr>
          <w:rFonts w:hint="eastAsia" w:ascii="Times New Roman" w:hAnsi="Times New Roman" w:eastAsia="仿宋" w:cs="Times New Roman"/>
          <w:b w:val="0"/>
          <w:bCs/>
          <w:color w:val="auto"/>
          <w:sz w:val="32"/>
          <w:szCs w:val="32"/>
          <w:highlight w:val="none"/>
          <w:lang w:val="en-US" w:eastAsia="zh-CN"/>
        </w:rPr>
        <w:t>5</w:t>
      </w:r>
      <w:r>
        <w:rPr>
          <w:rFonts w:hint="default" w:ascii="Times New Roman" w:hAnsi="Times New Roman" w:eastAsia="仿宋" w:cs="Times New Roman"/>
          <w:color w:val="auto"/>
          <w:kern w:val="2"/>
          <w:sz w:val="32"/>
          <w:szCs w:val="32"/>
          <w:highlight w:val="none"/>
          <w:lang w:val="en-US" w:eastAsia="zh-CN"/>
        </w:rPr>
        <w:t>万元，执行率</w:t>
      </w:r>
      <w:r>
        <w:rPr>
          <w:rFonts w:hint="eastAsia" w:ascii="Times New Roman" w:hAnsi="Times New Roman" w:eastAsia="仿宋" w:cs="Times New Roman"/>
          <w:color w:val="auto"/>
          <w:kern w:val="2"/>
          <w:sz w:val="32"/>
          <w:szCs w:val="32"/>
          <w:highlight w:val="none"/>
          <w:lang w:val="en-US" w:eastAsia="zh-CN"/>
        </w:rPr>
        <w:t>100.00</w:t>
      </w:r>
      <w:r>
        <w:rPr>
          <w:rFonts w:hint="default" w:ascii="Times New Roman" w:hAnsi="Times New Roman" w:eastAsia="仿宋" w:cs="Times New Roman"/>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rPr>
        <w:t>其中:上级安排项目</w:t>
      </w:r>
      <w:r>
        <w:rPr>
          <w:rFonts w:hint="eastAsia" w:ascii="Times New Roman" w:hAnsi="Times New Roman" w:eastAsia="仿宋" w:cs="Times New Roman"/>
          <w:color w:val="auto"/>
          <w:kern w:val="2"/>
          <w:sz w:val="32"/>
          <w:szCs w:val="32"/>
          <w:highlight w:val="none"/>
          <w:lang w:val="en-US" w:eastAsia="zh-CN"/>
        </w:rPr>
        <w:t>0</w:t>
      </w:r>
      <w:r>
        <w:rPr>
          <w:rFonts w:hint="default" w:ascii="Times New Roman" w:hAnsi="Times New Roman" w:eastAsia="仿宋" w:cs="Times New Roman"/>
          <w:color w:val="auto"/>
          <w:kern w:val="2"/>
          <w:sz w:val="32"/>
          <w:szCs w:val="32"/>
          <w:highlight w:val="none"/>
          <w:lang w:val="en-US" w:eastAsia="zh-CN"/>
        </w:rPr>
        <w:t>个</w:t>
      </w:r>
      <w:r>
        <w:rPr>
          <w:rFonts w:hint="eastAsia" w:ascii="Times New Roman" w:hAnsi="Times New Roman" w:eastAsia="仿宋" w:cs="Times New Roman"/>
          <w:color w:val="auto"/>
          <w:kern w:val="2"/>
          <w:sz w:val="32"/>
          <w:szCs w:val="32"/>
          <w:highlight w:val="none"/>
          <w:lang w:val="en-US" w:eastAsia="zh-CN"/>
        </w:rPr>
        <w:t>0.00</w:t>
      </w:r>
      <w:r>
        <w:rPr>
          <w:rFonts w:hint="default" w:ascii="Times New Roman" w:hAnsi="Times New Roman" w:eastAsia="仿宋" w:cs="Times New Roman"/>
          <w:color w:val="auto"/>
          <w:kern w:val="2"/>
          <w:sz w:val="32"/>
          <w:szCs w:val="32"/>
          <w:highlight w:val="none"/>
          <w:lang w:val="en-US" w:eastAsia="zh-CN"/>
        </w:rPr>
        <w:t>万元，本级安排项目</w:t>
      </w:r>
      <w:r>
        <w:rPr>
          <w:rFonts w:hint="eastAsia" w:ascii="Times New Roman" w:hAnsi="Times New Roman" w:eastAsia="仿宋" w:cs="Times New Roman"/>
          <w:color w:val="auto"/>
          <w:kern w:val="2"/>
          <w:sz w:val="32"/>
          <w:szCs w:val="32"/>
          <w:highlight w:val="none"/>
          <w:lang w:val="en-US" w:eastAsia="zh-CN"/>
        </w:rPr>
        <w:t>6</w:t>
      </w:r>
      <w:r>
        <w:rPr>
          <w:rFonts w:hint="default" w:ascii="Times New Roman" w:hAnsi="Times New Roman" w:eastAsia="仿宋" w:cs="Times New Roman"/>
          <w:color w:val="auto"/>
          <w:kern w:val="2"/>
          <w:sz w:val="32"/>
          <w:szCs w:val="32"/>
          <w:highlight w:val="none"/>
          <w:lang w:val="en-US" w:eastAsia="zh-CN"/>
        </w:rPr>
        <w:t>个</w:t>
      </w:r>
      <w:r>
        <w:rPr>
          <w:rFonts w:hint="default" w:ascii="Times New Roman" w:hAnsi="Times New Roman" w:eastAsia="仿宋" w:cs="Times New Roman"/>
          <w:b w:val="0"/>
          <w:bCs/>
          <w:color w:val="auto"/>
          <w:sz w:val="32"/>
          <w:szCs w:val="32"/>
          <w:highlight w:val="none"/>
          <w:lang w:val="en-US" w:eastAsia="zh-CN"/>
        </w:rPr>
        <w:t>146</w:t>
      </w:r>
      <w:r>
        <w:rPr>
          <w:rFonts w:hint="eastAsia"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w:t>
      </w:r>
      <w:r>
        <w:rPr>
          <w:rFonts w:hint="eastAsia" w:ascii="Times New Roman" w:hAnsi="Times New Roman" w:eastAsia="仿宋" w:cs="Times New Roman"/>
          <w:b w:val="0"/>
          <w:bCs/>
          <w:color w:val="auto"/>
          <w:sz w:val="32"/>
          <w:szCs w:val="32"/>
          <w:highlight w:val="none"/>
          <w:lang w:val="en-US" w:eastAsia="zh-CN"/>
        </w:rPr>
        <w:t>5</w:t>
      </w:r>
      <w:r>
        <w:rPr>
          <w:rFonts w:hint="default" w:ascii="Times New Roman" w:hAnsi="Times New Roman" w:eastAsia="仿宋" w:cs="Times New Roman"/>
          <w:color w:val="auto"/>
          <w:kern w:val="2"/>
          <w:sz w:val="32"/>
          <w:szCs w:val="32"/>
          <w:highlight w:val="none"/>
          <w:lang w:val="en-US" w:eastAsia="zh-CN"/>
        </w:rPr>
        <w:t>万元,其他资金安排项目</w:t>
      </w:r>
      <w:r>
        <w:rPr>
          <w:rFonts w:hint="eastAsia" w:ascii="Times New Roman" w:hAnsi="Times New Roman" w:eastAsia="仿宋" w:cs="Times New Roman"/>
          <w:color w:val="auto"/>
          <w:kern w:val="2"/>
          <w:sz w:val="32"/>
          <w:szCs w:val="32"/>
          <w:highlight w:val="none"/>
          <w:lang w:val="en-US" w:eastAsia="zh-CN"/>
        </w:rPr>
        <w:t>0</w:t>
      </w:r>
      <w:r>
        <w:rPr>
          <w:rFonts w:hint="default" w:ascii="Times New Roman" w:hAnsi="Times New Roman" w:eastAsia="仿宋" w:cs="Times New Roman"/>
          <w:color w:val="auto"/>
          <w:kern w:val="2"/>
          <w:sz w:val="32"/>
          <w:szCs w:val="32"/>
          <w:highlight w:val="none"/>
          <w:lang w:val="en-US" w:eastAsia="zh-CN"/>
        </w:rPr>
        <w:t>个</w:t>
      </w:r>
      <w:r>
        <w:rPr>
          <w:rFonts w:hint="eastAsia" w:ascii="Times New Roman" w:hAnsi="Times New Roman" w:eastAsia="仿宋" w:cs="Times New Roman"/>
          <w:color w:val="auto"/>
          <w:kern w:val="2"/>
          <w:sz w:val="32"/>
          <w:szCs w:val="32"/>
          <w:highlight w:val="none"/>
          <w:lang w:val="en-US" w:eastAsia="zh-CN"/>
        </w:rPr>
        <w:t>0.00</w:t>
      </w:r>
      <w:r>
        <w:rPr>
          <w:rFonts w:hint="default" w:ascii="Times New Roman" w:hAnsi="Times New Roman" w:eastAsia="仿宋" w:cs="Times New Roman"/>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default" w:ascii="Times New Roman" w:hAnsi="Times New Roman" w:eastAsia="仿宋_GB2312" w:cs="Times New Roman"/>
          <w:b w:val="0"/>
          <w:color w:val="auto"/>
          <w:spacing w:val="-4"/>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我单位将部门单位整体绩效目标细化分解为具体的绩效指标，一级指标共</w:t>
      </w:r>
      <w:r>
        <w:rPr>
          <w:rStyle w:val="10"/>
          <w:rFonts w:hint="eastAsia" w:ascii="Times New Roman" w:hAnsi="Times New Roman" w:eastAsia="仿宋" w:cs="Times New Roman"/>
          <w:b w:val="0"/>
          <w:color w:val="auto"/>
          <w:spacing w:val="-4"/>
          <w:sz w:val="32"/>
          <w:szCs w:val="32"/>
          <w:highlight w:val="none"/>
          <w:lang w:val="en-US" w:eastAsia="zh-CN"/>
        </w:rPr>
        <w:t>1</w:t>
      </w:r>
      <w:r>
        <w:rPr>
          <w:rStyle w:val="10"/>
          <w:rFonts w:hint="default" w:ascii="Times New Roman" w:hAnsi="Times New Roman" w:eastAsia="仿宋" w:cs="Times New Roman"/>
          <w:b w:val="0"/>
          <w:color w:val="auto"/>
          <w:spacing w:val="-4"/>
          <w:sz w:val="32"/>
          <w:szCs w:val="32"/>
          <w:highlight w:val="none"/>
          <w:lang w:val="en-US" w:eastAsia="zh-CN"/>
        </w:rPr>
        <w:t>条，二级指标共</w:t>
      </w:r>
      <w:r>
        <w:rPr>
          <w:rStyle w:val="10"/>
          <w:rFonts w:hint="eastAsia" w:ascii="Times New Roman" w:hAnsi="Times New Roman" w:eastAsia="仿宋" w:cs="Times New Roman"/>
          <w:b w:val="0"/>
          <w:color w:val="auto"/>
          <w:spacing w:val="-4"/>
          <w:sz w:val="32"/>
          <w:szCs w:val="32"/>
          <w:highlight w:val="none"/>
          <w:lang w:val="en-US" w:eastAsia="zh-CN"/>
        </w:rPr>
        <w:t>1</w:t>
      </w:r>
      <w:r>
        <w:rPr>
          <w:rStyle w:val="10"/>
          <w:rFonts w:hint="default" w:ascii="Times New Roman" w:hAnsi="Times New Roman" w:eastAsia="仿宋" w:cs="Times New Roman"/>
          <w:b w:val="0"/>
          <w:color w:val="auto"/>
          <w:spacing w:val="-4"/>
          <w:sz w:val="32"/>
          <w:szCs w:val="32"/>
          <w:highlight w:val="none"/>
          <w:lang w:val="en-US" w:eastAsia="zh-CN"/>
        </w:rPr>
        <w:t>条，三级指标共</w:t>
      </w:r>
      <w:r>
        <w:rPr>
          <w:rStyle w:val="10"/>
          <w:rFonts w:hint="eastAsia" w:ascii="Times New Roman" w:hAnsi="Times New Roman" w:eastAsia="仿宋" w:cs="Times New Roman"/>
          <w:b w:val="0"/>
          <w:color w:val="auto"/>
          <w:spacing w:val="-4"/>
          <w:sz w:val="32"/>
          <w:szCs w:val="32"/>
          <w:highlight w:val="none"/>
          <w:lang w:val="en-US" w:eastAsia="zh-CN"/>
        </w:rPr>
        <w:t>4</w:t>
      </w:r>
      <w:r>
        <w:rPr>
          <w:rStyle w:val="10"/>
          <w:rFonts w:hint="default" w:ascii="Times New Roman" w:hAnsi="Times New Roman" w:eastAsia="仿宋" w:cs="Times New Roman"/>
          <w:b w:val="0"/>
          <w:color w:val="auto"/>
          <w:spacing w:val="-4"/>
          <w:sz w:val="32"/>
          <w:szCs w:val="32"/>
          <w:highlight w:val="none"/>
          <w:lang w:val="en-US" w:eastAsia="zh-CN"/>
        </w:rPr>
        <w:t>条，其中量化指标条数共</w:t>
      </w:r>
      <w:r>
        <w:rPr>
          <w:rStyle w:val="10"/>
          <w:rFonts w:hint="eastAsia" w:ascii="Times New Roman" w:hAnsi="Times New Roman" w:eastAsia="仿宋" w:cs="Times New Roman"/>
          <w:b w:val="0"/>
          <w:color w:val="auto"/>
          <w:spacing w:val="-4"/>
          <w:sz w:val="32"/>
          <w:szCs w:val="32"/>
          <w:highlight w:val="none"/>
          <w:lang w:val="en-US" w:eastAsia="zh-CN"/>
        </w:rPr>
        <w:t>4</w:t>
      </w:r>
      <w:r>
        <w:rPr>
          <w:rStyle w:val="10"/>
          <w:rFonts w:hint="default" w:ascii="Times New Roman" w:hAnsi="Times New Roman" w:eastAsia="仿宋" w:cs="Times New Roman"/>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数量指标1：各领域安全风险隐患排查次数</w:t>
      </w:r>
      <w:r>
        <w:rPr>
          <w:rStyle w:val="10"/>
          <w:rFonts w:hint="eastAsia" w:ascii="Times New Roman" w:hAnsi="Times New Roman" w:eastAsia="仿宋" w:cs="Times New Roman"/>
          <w:b w:val="0"/>
          <w:color w:val="auto"/>
          <w:spacing w:val="-4"/>
          <w:sz w:val="32"/>
          <w:szCs w:val="32"/>
          <w:highlight w:val="none"/>
          <w:lang w:val="en-US" w:eastAsia="zh-CN"/>
        </w:rPr>
        <w:t>，</w:t>
      </w:r>
      <w:r>
        <w:rPr>
          <w:rStyle w:val="10"/>
          <w:rFonts w:hint="default" w:ascii="Times New Roman" w:hAnsi="Times New Roman" w:eastAsia="仿宋" w:cs="Times New Roman"/>
          <w:b w:val="0"/>
          <w:color w:val="auto"/>
          <w:spacing w:val="-4"/>
          <w:sz w:val="32"/>
          <w:szCs w:val="32"/>
          <w:highlight w:val="none"/>
          <w:lang w:val="en-US" w:eastAsia="zh-CN"/>
        </w:rPr>
        <w:t>预期指标值为：=</w:t>
      </w:r>
      <w:r>
        <w:rPr>
          <w:rStyle w:val="10"/>
          <w:rFonts w:hint="eastAsia" w:ascii="Times New Roman" w:hAnsi="Times New Roman" w:eastAsia="仿宋" w:cs="Times New Roman"/>
          <w:b w:val="0"/>
          <w:color w:val="auto"/>
          <w:spacing w:val="-4"/>
          <w:sz w:val="32"/>
          <w:szCs w:val="32"/>
          <w:highlight w:val="none"/>
          <w:lang w:val="en-US" w:eastAsia="zh-CN"/>
        </w:rPr>
        <w:t>4</w:t>
      </w:r>
      <w:r>
        <w:rPr>
          <w:rStyle w:val="10"/>
          <w:rFonts w:hint="default" w:ascii="Times New Roman" w:hAnsi="Times New Roman" w:eastAsia="仿宋" w:cs="Times New Roman"/>
          <w:b w:val="0"/>
          <w:color w:val="auto"/>
          <w:spacing w:val="-4"/>
          <w:sz w:val="32"/>
          <w:szCs w:val="32"/>
          <w:highlight w:val="none"/>
          <w:lang w:val="en-US" w:eastAsia="zh-CN"/>
        </w:rPr>
        <w:t>次；</w:t>
      </w:r>
      <w:r>
        <w:rPr>
          <w:rStyle w:val="10"/>
          <w:rFonts w:hint="default" w:ascii="Times New Roman" w:hAnsi="Times New Roman" w:eastAsia="仿宋" w:cs="Times New Roman"/>
          <w:b w:val="0"/>
          <w:color w:val="auto"/>
          <w:spacing w:val="-4"/>
          <w:sz w:val="32"/>
          <w:szCs w:val="32"/>
          <w:highlight w:val="none"/>
          <w:lang w:val="en-US" w:eastAsia="zh-CN"/>
        </w:rPr>
        <w:t>监控节点完成值：=</w:t>
      </w:r>
      <w:r>
        <w:rPr>
          <w:rStyle w:val="10"/>
          <w:rFonts w:hint="eastAsia" w:ascii="Times New Roman" w:hAnsi="Times New Roman" w:eastAsia="仿宋" w:cs="Times New Roman"/>
          <w:b w:val="0"/>
          <w:color w:val="auto"/>
          <w:spacing w:val="-4"/>
          <w:sz w:val="32"/>
          <w:szCs w:val="32"/>
          <w:highlight w:val="none"/>
          <w:lang w:val="en-US" w:eastAsia="zh-CN"/>
        </w:rPr>
        <w:t>3</w:t>
      </w:r>
      <w:r>
        <w:rPr>
          <w:rStyle w:val="10"/>
          <w:rFonts w:hint="default" w:ascii="Times New Roman" w:hAnsi="Times New Roman" w:eastAsia="仿宋" w:cs="Times New Roman"/>
          <w:b w:val="0"/>
          <w:color w:val="auto"/>
          <w:spacing w:val="-4"/>
          <w:sz w:val="32"/>
          <w:szCs w:val="32"/>
          <w:highlight w:val="none"/>
          <w:lang w:val="en-US" w:eastAsia="zh-CN"/>
        </w:rPr>
        <w:t>次；</w:t>
      </w:r>
      <w:r>
        <w:rPr>
          <w:rStyle w:val="10"/>
          <w:rFonts w:hint="default" w:ascii="Times New Roman" w:hAnsi="Times New Roman" w:eastAsia="仿宋" w:cs="Times New Roman"/>
          <w:b w:val="0"/>
          <w:color w:val="auto"/>
          <w:spacing w:val="-4"/>
          <w:sz w:val="32"/>
          <w:szCs w:val="32"/>
          <w:highlight w:val="none"/>
          <w:lang w:val="en-US" w:eastAsia="zh-CN"/>
        </w:rPr>
        <w:t>评价实际完成值：=14次；指标完成率：</w:t>
      </w:r>
      <w:r>
        <w:rPr>
          <w:rStyle w:val="10"/>
          <w:rFonts w:hint="eastAsia" w:ascii="Times New Roman" w:hAnsi="Times New Roman" w:eastAsia="仿宋" w:cs="Times New Roman"/>
          <w:b w:val="0"/>
          <w:color w:val="auto"/>
          <w:spacing w:val="-4"/>
          <w:sz w:val="32"/>
          <w:szCs w:val="32"/>
          <w:highlight w:val="none"/>
          <w:lang w:val="en-US" w:eastAsia="zh-CN"/>
        </w:rPr>
        <w:t>0.00</w:t>
      </w:r>
      <w:r>
        <w:rPr>
          <w:rStyle w:val="10"/>
          <w:rFonts w:hint="default" w:ascii="Times New Roman" w:hAnsi="Times New Roman" w:eastAsia="仿宋" w:cs="Times New Roman"/>
          <w:b w:val="0"/>
          <w:color w:val="auto"/>
          <w:spacing w:val="-4"/>
          <w:sz w:val="32"/>
          <w:szCs w:val="32"/>
          <w:highlight w:val="none"/>
          <w:lang w:val="en-US" w:eastAsia="zh-CN"/>
        </w:rPr>
        <w:t>%；成效分析：</w:t>
      </w:r>
      <w:r>
        <w:rPr>
          <w:rStyle w:val="10"/>
          <w:rFonts w:hint="default" w:ascii="Times New Roman" w:hAnsi="Times New Roman" w:eastAsia="仿宋" w:cs="Times New Roman"/>
          <w:b w:val="0"/>
          <w:bCs/>
          <w:color w:val="auto"/>
          <w:spacing w:val="-4"/>
          <w:sz w:val="32"/>
          <w:szCs w:val="32"/>
          <w:highlight w:val="none"/>
          <w:lang w:val="en-US" w:eastAsia="zh-CN"/>
        </w:rPr>
        <w:t>通过单位正常运转</w:t>
      </w:r>
      <w:r>
        <w:rPr>
          <w:rStyle w:val="10"/>
          <w:rFonts w:hint="default" w:ascii="Times New Roman" w:hAnsi="Times New Roman" w:eastAsia="仿宋" w:cs="Times New Roman"/>
          <w:b w:val="0"/>
          <w:color w:val="auto"/>
          <w:spacing w:val="-4"/>
          <w:sz w:val="32"/>
          <w:szCs w:val="32"/>
          <w:highlight w:val="none"/>
          <w:lang w:val="en-US" w:eastAsia="zh-CN"/>
        </w:rPr>
        <w:t>，提高了安全风险隐患</w:t>
      </w:r>
      <w:r>
        <w:rPr>
          <w:rStyle w:val="10"/>
          <w:rFonts w:hint="eastAsia" w:ascii="Times New Roman" w:hAnsi="Times New Roman" w:eastAsia="仿宋" w:cs="Times New Roman"/>
          <w:b w:val="0"/>
          <w:color w:val="auto"/>
          <w:spacing w:val="-4"/>
          <w:sz w:val="32"/>
          <w:szCs w:val="32"/>
          <w:highlight w:val="none"/>
          <w:lang w:val="en-US" w:eastAsia="zh-CN"/>
        </w:rPr>
        <w:t>知晓率</w:t>
      </w:r>
      <w:r>
        <w:rPr>
          <w:rStyle w:val="10"/>
          <w:rFonts w:hint="default" w:ascii="Times New Roman" w:hAnsi="Times New Roman" w:eastAsia="仿宋" w:cs="Times New Roman"/>
          <w:b w:val="0"/>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偏差原因：</w:t>
      </w:r>
      <w:r>
        <w:rPr>
          <w:rStyle w:val="10"/>
          <w:rFonts w:hint="eastAsia" w:ascii="Times New Roman" w:hAnsi="Times New Roman" w:eastAsia="仿宋" w:cs="Times New Roman"/>
          <w:b w:val="0"/>
          <w:bCs/>
          <w:color w:val="auto"/>
          <w:spacing w:val="-4"/>
          <w:sz w:val="32"/>
          <w:szCs w:val="32"/>
          <w:highlight w:val="none"/>
          <w:lang w:val="en-US" w:eastAsia="zh-CN"/>
        </w:rPr>
        <w:t>按实际情况填报，超额完成绩效预期指标</w:t>
      </w:r>
      <w:r>
        <w:rPr>
          <w:rStyle w:val="10"/>
          <w:rFonts w:hint="default" w:ascii="Times New Roman" w:hAnsi="Times New Roman" w:eastAsia="仿宋" w:cs="Times New Roman"/>
          <w:b w:val="0"/>
          <w:bCs/>
          <w:color w:val="auto"/>
          <w:spacing w:val="-4"/>
          <w:sz w:val="32"/>
          <w:szCs w:val="32"/>
          <w:highlight w:val="none"/>
          <w:lang w:val="en-US" w:eastAsia="zh-CN"/>
        </w:rPr>
        <w:t>；下一步措施：</w:t>
      </w:r>
      <w:r>
        <w:rPr>
          <w:rStyle w:val="10"/>
          <w:rFonts w:hint="eastAsia" w:ascii="Times New Roman" w:hAnsi="Times New Roman" w:eastAsia="仿宋" w:cs="Times New Roman"/>
          <w:b w:val="0"/>
          <w:bCs/>
          <w:color w:val="auto"/>
          <w:spacing w:val="-4"/>
          <w:sz w:val="32"/>
          <w:szCs w:val="32"/>
          <w:highlight w:val="none"/>
          <w:lang w:val="en-US" w:eastAsia="zh-CN"/>
        </w:rPr>
        <w:t>精准预算精准预期指标</w:t>
      </w:r>
      <w:r>
        <w:rPr>
          <w:rStyle w:val="10"/>
          <w:rFonts w:hint="default" w:ascii="Times New Roman" w:hAnsi="Times New Roman" w:eastAsia="仿宋" w:cs="Times New Roman"/>
          <w:b w:val="0"/>
          <w:bCs/>
          <w:color w:val="auto"/>
          <w:spacing w:val="-4"/>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数量指标2：保障视频会议室会议场次</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预期指标值为：&gt;=200场；</w:t>
      </w:r>
      <w:r>
        <w:rPr>
          <w:rStyle w:val="10"/>
          <w:rFonts w:hint="default" w:ascii="Times New Roman" w:hAnsi="Times New Roman" w:eastAsia="仿宋" w:cs="Times New Roman"/>
          <w:b w:val="0"/>
          <w:bCs/>
          <w:color w:val="auto"/>
          <w:spacing w:val="-4"/>
          <w:sz w:val="32"/>
          <w:szCs w:val="32"/>
          <w:highlight w:val="none"/>
          <w:lang w:val="en-US" w:eastAsia="zh-CN"/>
        </w:rPr>
        <w:t>监控节点完成值：=</w:t>
      </w:r>
      <w:r>
        <w:rPr>
          <w:rStyle w:val="10"/>
          <w:rFonts w:hint="eastAsia" w:ascii="Times New Roman" w:hAnsi="Times New Roman" w:eastAsia="仿宋" w:cs="Times New Roman"/>
          <w:b w:val="0"/>
          <w:bCs/>
          <w:color w:val="auto"/>
          <w:spacing w:val="-4"/>
          <w:sz w:val="32"/>
          <w:szCs w:val="32"/>
          <w:highlight w:val="none"/>
          <w:lang w:val="en-US" w:eastAsia="zh-CN"/>
        </w:rPr>
        <w:t>195</w:t>
      </w:r>
      <w:r>
        <w:rPr>
          <w:rStyle w:val="10"/>
          <w:rFonts w:hint="default" w:ascii="Times New Roman" w:hAnsi="Times New Roman" w:eastAsia="仿宋" w:cs="Times New Roman"/>
          <w:b w:val="0"/>
          <w:bCs/>
          <w:color w:val="auto"/>
          <w:spacing w:val="-4"/>
          <w:sz w:val="32"/>
          <w:szCs w:val="32"/>
          <w:highlight w:val="none"/>
          <w:lang w:val="en-US" w:eastAsia="zh-CN"/>
        </w:rPr>
        <w:t>场；</w:t>
      </w:r>
      <w:r>
        <w:rPr>
          <w:rStyle w:val="10"/>
          <w:rFonts w:hint="default" w:ascii="Times New Roman" w:hAnsi="Times New Roman" w:eastAsia="仿宋" w:cs="Times New Roman"/>
          <w:b w:val="0"/>
          <w:bCs/>
          <w:color w:val="auto"/>
          <w:spacing w:val="-4"/>
          <w:sz w:val="32"/>
          <w:szCs w:val="32"/>
          <w:highlight w:val="none"/>
          <w:lang w:val="en-US" w:eastAsia="zh-CN"/>
        </w:rPr>
        <w:t>评价实际完成值：=210场；指标完成率：</w:t>
      </w:r>
      <w:r>
        <w:rPr>
          <w:rStyle w:val="10"/>
          <w:rFonts w:hint="eastAsia" w:ascii="Times New Roman" w:hAnsi="Times New Roman" w:eastAsia="仿宋" w:cs="Times New Roman"/>
          <w:b w:val="0"/>
          <w:bCs/>
          <w:color w:val="auto"/>
          <w:spacing w:val="-4"/>
          <w:sz w:val="32"/>
          <w:szCs w:val="32"/>
          <w:highlight w:val="none"/>
          <w:lang w:val="en-US" w:eastAsia="zh-CN"/>
        </w:rPr>
        <w:t>100.00</w:t>
      </w:r>
      <w:r>
        <w:rPr>
          <w:rStyle w:val="10"/>
          <w:rFonts w:hint="default" w:ascii="Times New Roman" w:hAnsi="Times New Roman" w:eastAsia="仿宋" w:cs="Times New Roman"/>
          <w:b w:val="0"/>
          <w:bCs/>
          <w:color w:val="auto"/>
          <w:spacing w:val="-4"/>
          <w:sz w:val="32"/>
          <w:szCs w:val="32"/>
          <w:highlight w:val="none"/>
          <w:lang w:val="en-US" w:eastAsia="zh-CN"/>
        </w:rPr>
        <w:t>%；成效分析：通过单位正常运转，提高了</w:t>
      </w:r>
      <w:r>
        <w:rPr>
          <w:rStyle w:val="10"/>
          <w:rFonts w:hint="eastAsia" w:ascii="Times New Roman" w:hAnsi="Times New Roman" w:eastAsia="仿宋" w:cs="Times New Roman"/>
          <w:b w:val="0"/>
          <w:bCs/>
          <w:color w:val="auto"/>
          <w:spacing w:val="-4"/>
          <w:sz w:val="32"/>
          <w:szCs w:val="32"/>
          <w:highlight w:val="none"/>
          <w:lang w:val="en-US" w:eastAsia="zh-CN"/>
        </w:rPr>
        <w:t>参会人员准时参会率，减少乡镇到市区参会时间成本。</w:t>
      </w:r>
    </w:p>
    <w:p>
      <w:pPr>
        <w:ind w:firstLine="624" w:firstLineChars="200"/>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w:t>
      </w:r>
      <w:r>
        <w:rPr>
          <w:rStyle w:val="10"/>
          <w:rFonts w:hint="eastAsia" w:ascii="Times New Roman" w:hAnsi="Times New Roman" w:eastAsia="仿宋" w:cs="Times New Roman"/>
          <w:b w:val="0"/>
          <w:bCs/>
          <w:color w:val="auto"/>
          <w:spacing w:val="-4"/>
          <w:sz w:val="32"/>
          <w:szCs w:val="32"/>
          <w:highlight w:val="none"/>
          <w:lang w:val="en-US" w:eastAsia="zh-CN"/>
        </w:rPr>
        <w:t>3</w:t>
      </w:r>
      <w:r>
        <w:rPr>
          <w:rStyle w:val="10"/>
          <w:rFonts w:hint="default" w:ascii="Times New Roman" w:hAnsi="Times New Roman" w:eastAsia="仿宋" w:cs="Times New Roman"/>
          <w:b w:val="0"/>
          <w:bCs/>
          <w:color w:val="auto"/>
          <w:spacing w:val="-4"/>
          <w:sz w:val="32"/>
          <w:szCs w:val="32"/>
          <w:highlight w:val="none"/>
          <w:lang w:val="en-US" w:eastAsia="zh-CN"/>
        </w:rPr>
        <w:t>：撰写调研报告及领导讲话数量</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预期指标值为：&gt;=15份</w:t>
      </w:r>
      <w:r>
        <w:rPr>
          <w:rStyle w:val="10"/>
          <w:rFonts w:hint="default" w:ascii="Times New Roman" w:hAnsi="Times New Roman" w:eastAsia="仿宋" w:cs="Times New Roman"/>
          <w:b w:val="0"/>
          <w:bCs/>
          <w:color w:val="auto"/>
          <w:spacing w:val="-4"/>
          <w:sz w:val="32"/>
          <w:szCs w:val="32"/>
          <w:highlight w:val="none"/>
          <w:lang w:val="en-US" w:eastAsia="zh-CN"/>
        </w:rPr>
        <w:t>；监控节点完成值：=</w:t>
      </w:r>
      <w:r>
        <w:rPr>
          <w:rStyle w:val="10"/>
          <w:rFonts w:hint="eastAsia" w:ascii="Times New Roman" w:hAnsi="Times New Roman" w:eastAsia="仿宋" w:cs="Times New Roman"/>
          <w:b w:val="0"/>
          <w:bCs/>
          <w:color w:val="auto"/>
          <w:spacing w:val="-4"/>
          <w:sz w:val="32"/>
          <w:szCs w:val="32"/>
          <w:highlight w:val="none"/>
          <w:lang w:val="en-US" w:eastAsia="zh-CN"/>
        </w:rPr>
        <w:t>8</w:t>
      </w:r>
      <w:r>
        <w:rPr>
          <w:rStyle w:val="10"/>
          <w:rFonts w:hint="default" w:ascii="Times New Roman" w:hAnsi="Times New Roman" w:eastAsia="仿宋" w:cs="Times New Roman"/>
          <w:b w:val="0"/>
          <w:bCs/>
          <w:color w:val="auto"/>
          <w:spacing w:val="-4"/>
          <w:sz w:val="32"/>
          <w:szCs w:val="32"/>
          <w:highlight w:val="none"/>
          <w:lang w:val="en-US" w:eastAsia="zh-CN"/>
        </w:rPr>
        <w:t>份；</w:t>
      </w:r>
      <w:r>
        <w:rPr>
          <w:rStyle w:val="10"/>
          <w:rFonts w:hint="default" w:ascii="Times New Roman" w:hAnsi="Times New Roman" w:eastAsia="仿宋" w:cs="Times New Roman"/>
          <w:b w:val="0"/>
          <w:bCs/>
          <w:color w:val="auto"/>
          <w:spacing w:val="-4"/>
          <w:sz w:val="32"/>
          <w:szCs w:val="32"/>
          <w:highlight w:val="none"/>
          <w:lang w:val="en-US" w:eastAsia="zh-CN"/>
        </w:rPr>
        <w:t>评价实际完成值：=</w:t>
      </w:r>
      <w:r>
        <w:rPr>
          <w:rStyle w:val="10"/>
          <w:rFonts w:hint="eastAsia" w:ascii="Times New Roman" w:hAnsi="Times New Roman" w:eastAsia="仿宋" w:cs="Times New Roman"/>
          <w:b w:val="0"/>
          <w:bCs/>
          <w:color w:val="auto"/>
          <w:spacing w:val="-4"/>
          <w:sz w:val="32"/>
          <w:szCs w:val="32"/>
          <w:highlight w:val="none"/>
          <w:lang w:val="en-US" w:eastAsia="zh-CN"/>
        </w:rPr>
        <w:t>16</w:t>
      </w:r>
      <w:r>
        <w:rPr>
          <w:rStyle w:val="10"/>
          <w:rFonts w:hint="default" w:ascii="Times New Roman" w:hAnsi="Times New Roman" w:eastAsia="仿宋" w:cs="Times New Roman"/>
          <w:b w:val="0"/>
          <w:bCs/>
          <w:color w:val="auto"/>
          <w:spacing w:val="-4"/>
          <w:sz w:val="32"/>
          <w:szCs w:val="32"/>
          <w:highlight w:val="none"/>
          <w:lang w:val="en-US" w:eastAsia="zh-CN"/>
        </w:rPr>
        <w:t>份；指标完成率：</w:t>
      </w:r>
      <w:r>
        <w:rPr>
          <w:rStyle w:val="10"/>
          <w:rFonts w:hint="eastAsia" w:ascii="Times New Roman" w:hAnsi="Times New Roman" w:eastAsia="仿宋" w:cs="Times New Roman"/>
          <w:b w:val="0"/>
          <w:bCs/>
          <w:color w:val="auto"/>
          <w:spacing w:val="-4"/>
          <w:sz w:val="32"/>
          <w:szCs w:val="32"/>
          <w:highlight w:val="none"/>
          <w:lang w:val="en-US" w:eastAsia="zh-CN"/>
        </w:rPr>
        <w:t>100.00</w:t>
      </w:r>
      <w:r>
        <w:rPr>
          <w:rStyle w:val="10"/>
          <w:rFonts w:hint="default" w:ascii="Times New Roman" w:hAnsi="Times New Roman" w:eastAsia="仿宋" w:cs="Times New Roman"/>
          <w:b w:val="0"/>
          <w:bCs/>
          <w:color w:val="auto"/>
          <w:spacing w:val="-4"/>
          <w:sz w:val="32"/>
          <w:szCs w:val="32"/>
          <w:highlight w:val="none"/>
          <w:lang w:val="en-US" w:eastAsia="zh-CN"/>
        </w:rPr>
        <w:t>%；成效分析：通过单位正常运转，提高了</w:t>
      </w:r>
      <w:r>
        <w:rPr>
          <w:rStyle w:val="10"/>
          <w:rFonts w:hint="eastAsia" w:ascii="Times New Roman" w:hAnsi="Times New Roman" w:eastAsia="仿宋" w:cs="Times New Roman"/>
          <w:b w:val="0"/>
          <w:bCs/>
          <w:color w:val="auto"/>
          <w:spacing w:val="-4"/>
          <w:sz w:val="32"/>
          <w:szCs w:val="32"/>
          <w:highlight w:val="none"/>
          <w:lang w:val="en-US" w:eastAsia="zh-CN"/>
        </w:rPr>
        <w:t>领导对所调研问题实际情况全面、准确的了解。</w:t>
      </w:r>
    </w:p>
    <w:p>
      <w:pPr>
        <w:pStyle w:val="3"/>
        <w:ind w:firstLine="624" w:firstLineChars="200"/>
        <w:rPr>
          <w:rFonts w:hint="default"/>
          <w:color w:val="auto"/>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w:t>
      </w:r>
      <w:r>
        <w:rPr>
          <w:rStyle w:val="10"/>
          <w:rFonts w:hint="eastAsia" w:ascii="Times New Roman" w:hAnsi="Times New Roman" w:eastAsia="仿宋" w:cs="Times New Roman"/>
          <w:b w:val="0"/>
          <w:bCs/>
          <w:color w:val="auto"/>
          <w:spacing w:val="-4"/>
          <w:sz w:val="32"/>
          <w:szCs w:val="32"/>
          <w:highlight w:val="none"/>
          <w:lang w:val="en-US" w:eastAsia="zh-CN"/>
        </w:rPr>
        <w:t>4</w:t>
      </w:r>
      <w:r>
        <w:rPr>
          <w:rStyle w:val="10"/>
          <w:rFonts w:hint="default" w:ascii="Times New Roman" w:hAnsi="Times New Roman" w:eastAsia="仿宋" w:cs="Times New Roman"/>
          <w:b w:val="0"/>
          <w:bCs/>
          <w:color w:val="auto"/>
          <w:spacing w:val="-4"/>
          <w:sz w:val="32"/>
          <w:szCs w:val="32"/>
          <w:highlight w:val="none"/>
          <w:lang w:val="en-US" w:eastAsia="zh-CN"/>
        </w:rPr>
        <w:t>：召开常委会会议场次</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预期指标值为：&gt;=12场；</w:t>
      </w:r>
      <w:r>
        <w:rPr>
          <w:rStyle w:val="10"/>
          <w:rFonts w:hint="default" w:ascii="Times New Roman" w:hAnsi="Times New Roman" w:eastAsia="仿宋" w:cs="Times New Roman"/>
          <w:b w:val="0"/>
          <w:bCs/>
          <w:color w:val="auto"/>
          <w:spacing w:val="-4"/>
          <w:sz w:val="32"/>
          <w:szCs w:val="32"/>
          <w:highlight w:val="none"/>
          <w:lang w:val="en-US" w:eastAsia="zh-CN"/>
        </w:rPr>
        <w:t>监控节点完成值：=</w:t>
      </w:r>
      <w:r>
        <w:rPr>
          <w:rStyle w:val="10"/>
          <w:rFonts w:hint="eastAsia" w:ascii="Times New Roman" w:hAnsi="Times New Roman" w:eastAsia="仿宋" w:cs="Times New Roman"/>
          <w:b w:val="0"/>
          <w:bCs/>
          <w:color w:val="auto"/>
          <w:spacing w:val="-4"/>
          <w:sz w:val="32"/>
          <w:szCs w:val="32"/>
          <w:highlight w:val="none"/>
          <w:lang w:val="en-US" w:eastAsia="zh-CN"/>
        </w:rPr>
        <w:t>10</w:t>
      </w:r>
      <w:r>
        <w:rPr>
          <w:rStyle w:val="10"/>
          <w:rFonts w:hint="default" w:ascii="Times New Roman" w:hAnsi="Times New Roman" w:eastAsia="仿宋" w:cs="Times New Roman"/>
          <w:b w:val="0"/>
          <w:bCs/>
          <w:color w:val="auto"/>
          <w:spacing w:val="-4"/>
          <w:sz w:val="32"/>
          <w:szCs w:val="32"/>
          <w:highlight w:val="none"/>
          <w:lang w:val="en-US" w:eastAsia="zh-CN"/>
        </w:rPr>
        <w:t>场；</w:t>
      </w:r>
      <w:r>
        <w:rPr>
          <w:rStyle w:val="10"/>
          <w:rFonts w:hint="default" w:ascii="Times New Roman" w:hAnsi="Times New Roman" w:eastAsia="仿宋" w:cs="Times New Roman"/>
          <w:b w:val="0"/>
          <w:bCs/>
          <w:color w:val="auto"/>
          <w:spacing w:val="-4"/>
          <w:sz w:val="32"/>
          <w:szCs w:val="32"/>
          <w:highlight w:val="none"/>
          <w:lang w:val="en-US" w:eastAsia="zh-CN"/>
        </w:rPr>
        <w:t>评价实际完成值：=12场；指标完成率：</w:t>
      </w:r>
      <w:r>
        <w:rPr>
          <w:rStyle w:val="10"/>
          <w:rFonts w:hint="eastAsia" w:ascii="Times New Roman" w:hAnsi="Times New Roman" w:eastAsia="仿宋" w:cs="Times New Roman"/>
          <w:b w:val="0"/>
          <w:bCs/>
          <w:color w:val="auto"/>
          <w:spacing w:val="-4"/>
          <w:sz w:val="32"/>
          <w:szCs w:val="32"/>
          <w:highlight w:val="none"/>
          <w:lang w:val="en-US" w:eastAsia="zh-CN"/>
        </w:rPr>
        <w:t>100.00</w:t>
      </w:r>
      <w:r>
        <w:rPr>
          <w:rStyle w:val="10"/>
          <w:rFonts w:hint="default" w:ascii="Times New Roman" w:hAnsi="Times New Roman" w:eastAsia="仿宋" w:cs="Times New Roman"/>
          <w:b w:val="0"/>
          <w:bCs/>
          <w:color w:val="auto"/>
          <w:spacing w:val="-4"/>
          <w:sz w:val="32"/>
          <w:szCs w:val="32"/>
          <w:highlight w:val="none"/>
          <w:lang w:val="en-US" w:eastAsia="zh-CN"/>
        </w:rPr>
        <w:t>%；成效分析：通过单位正常运转，提高了</w:t>
      </w:r>
      <w:r>
        <w:rPr>
          <w:rStyle w:val="10"/>
          <w:rFonts w:hint="eastAsia" w:ascii="Times New Roman" w:hAnsi="Times New Roman" w:eastAsia="仿宋" w:cs="Times New Roman"/>
          <w:b w:val="0"/>
          <w:bCs/>
          <w:color w:val="auto"/>
          <w:spacing w:val="-4"/>
          <w:sz w:val="32"/>
          <w:szCs w:val="32"/>
          <w:highlight w:val="none"/>
          <w:lang w:val="en-US" w:eastAsia="zh-CN"/>
        </w:rPr>
        <w:t>市委重大决策会议的保障率。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四、</w:t>
      </w:r>
      <w:r>
        <w:rPr>
          <w:rStyle w:val="10"/>
          <w:rFonts w:hint="default" w:ascii="Times New Roman" w:hAnsi="Times New Roman" w:eastAsia="黑体" w:cs="Times New Roman"/>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2023年度部门整体支出绩效自评综合得分</w:t>
      </w:r>
      <w:r>
        <w:rPr>
          <w:rStyle w:val="10"/>
          <w:rFonts w:hint="eastAsia" w:ascii="Times New Roman" w:hAnsi="Times New Roman" w:eastAsia="仿宋" w:cs="Times New Roman"/>
          <w:b w:val="0"/>
          <w:bCs/>
          <w:color w:val="auto"/>
          <w:spacing w:val="-4"/>
          <w:sz w:val="32"/>
          <w:szCs w:val="32"/>
          <w:highlight w:val="none"/>
          <w:lang w:val="en-US" w:eastAsia="zh-CN"/>
        </w:rPr>
        <w:t>75</w:t>
      </w:r>
      <w:r>
        <w:rPr>
          <w:rStyle w:val="10"/>
          <w:rFonts w:hint="default" w:ascii="Times New Roman" w:hAnsi="Times New Roman" w:eastAsia="仿宋" w:cs="Times New Roman"/>
          <w:b w:val="0"/>
          <w:bCs/>
          <w:color w:val="auto"/>
          <w:spacing w:val="-4"/>
          <w:sz w:val="32"/>
          <w:szCs w:val="32"/>
          <w:highlight w:val="none"/>
          <w:lang w:val="en-US" w:eastAsia="zh-CN"/>
        </w:rPr>
        <w:t>分，评价结果为</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中</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五、</w:t>
      </w:r>
      <w:r>
        <w:rPr>
          <w:rStyle w:val="10"/>
          <w:rFonts w:hint="default" w:ascii="Times New Roman" w:hAnsi="Times New Roman" w:eastAsia="黑体" w:cs="Times New Roman"/>
          <w:b w:val="0"/>
          <w:bCs w:val="0"/>
          <w:color w:val="auto"/>
          <w:spacing w:val="-4"/>
          <w:sz w:val="32"/>
          <w:szCs w:val="32"/>
          <w:highlight w:val="none"/>
        </w:rPr>
        <w:t>存在的主要问题</w:t>
      </w:r>
      <w:r>
        <w:rPr>
          <w:rStyle w:val="10"/>
          <w:rFonts w:hint="default" w:ascii="Times New Roman" w:hAnsi="Times New Roman" w:eastAsia="黑体" w:cs="Times New Roman"/>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（1）预算绩效观念不深入。</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在日常绩效监控工作中存在着一定程度的“重分配、轻管理、重支出、轻绩效”的情况，造成该问题的主要原因是自身绩效理念较薄弱，单位绩效目标编制仍有缺失，需要进一步加强对资金绩效管理的重视程度。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（2）预算绩效规范管理有盲点。</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六、</w:t>
      </w:r>
      <w:r>
        <w:rPr>
          <w:rStyle w:val="10"/>
          <w:rFonts w:hint="default" w:ascii="Times New Roman" w:hAnsi="Times New Roman" w:eastAsia="黑体" w:cs="Times New Roman"/>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bookmarkStart w:id="0" w:name="_GoBack"/>
      <w:r>
        <w:rPr>
          <w:rStyle w:val="10"/>
          <w:rFonts w:hint="default" w:ascii="Times New Roman" w:hAnsi="Times New Roman" w:eastAsia="仿宋" w:cs="Times New Roman"/>
          <w:b w:val="0"/>
          <w:bCs/>
          <w:color w:val="auto"/>
          <w:spacing w:val="-4"/>
          <w:sz w:val="32"/>
          <w:szCs w:val="32"/>
          <w:highlight w:val="none"/>
          <w:lang w:val="en-US" w:eastAsia="zh-CN"/>
        </w:rPr>
        <w:t>一是加强宣传引导,强化绩效观念。</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党的十八届三中全会作出的《关于全面深化改革若干重大问题的决定》中对政府绩效管理和财政预算管理提出了明确要求</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新修订的《预算法》以及新修订的《行政单位财务规则》也对预算绩效管理作出了具体规定</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尽快建立并完善预算绩效管理机制也是深化全面从严治党、推进法治型、服务型、节约型政府建设的有效途径和重要举措。</w:t>
      </w:r>
      <w:r>
        <w:rPr>
          <w:rStyle w:val="10"/>
          <w:rFonts w:hint="eastAsia" w:ascii="Times New Roman" w:hAnsi="Times New Roman" w:eastAsia="仿宋" w:cs="Times New Roman"/>
          <w:b w:val="0"/>
          <w:bCs/>
          <w:color w:val="auto"/>
          <w:spacing w:val="-4"/>
          <w:sz w:val="32"/>
          <w:szCs w:val="32"/>
          <w:highlight w:val="none"/>
          <w:lang w:val="en-US" w:eastAsia="zh-CN"/>
        </w:rPr>
        <w:t>要采取</w:t>
      </w:r>
      <w:r>
        <w:rPr>
          <w:rStyle w:val="10"/>
          <w:rFonts w:hint="default" w:ascii="Times New Roman" w:hAnsi="Times New Roman" w:eastAsia="仿宋" w:cs="Times New Roman"/>
          <w:b w:val="0"/>
          <w:bCs/>
          <w:color w:val="auto"/>
          <w:spacing w:val="-4"/>
          <w:sz w:val="32"/>
          <w:szCs w:val="32"/>
          <w:highlight w:val="none"/>
          <w:lang w:val="en-US" w:eastAsia="zh-CN"/>
        </w:rPr>
        <w:t>专题培训、分类指导等多种形式</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组织预算单位和工作人员学习预算绩效管理的法律法规、规范要求</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让绩效理念深入人心、让绩效管理人员熟知政策、知行合一</w:t>
      </w:r>
      <w:r>
        <w:rPr>
          <w:rStyle w:val="10"/>
          <w:rFonts w:hint="eastAsia" w:ascii="Times New Roman" w:hAnsi="Times New Roman" w:eastAsia="仿宋" w:cs="Times New Roman"/>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二是</w:t>
      </w:r>
      <w:r>
        <w:rPr>
          <w:rStyle w:val="10"/>
          <w:rFonts w:hint="default" w:ascii="Times New Roman" w:hAnsi="Times New Roman" w:eastAsia="仿宋" w:cs="Times New Roman"/>
          <w:b w:val="0"/>
          <w:bCs/>
          <w:color w:val="auto"/>
          <w:spacing w:val="-4"/>
          <w:sz w:val="32"/>
          <w:szCs w:val="32"/>
          <w:highlight w:val="none"/>
          <w:lang w:val="en-US" w:eastAsia="zh-CN"/>
        </w:rPr>
        <w:t>完善指标体系,规范评价标准。</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要准确把握预算绩效管理的制度规定</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积极探索适用于不同部门、不同项目的绩效指标</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逐步建立涵盖各类各项支出、符合目标内容、突出绩效特色、细化量化、便于考核的统一规范的绩效评价指标体系</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以及覆盖全部预算支出结果绩效评价的规范标准</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尽快形成</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预算编制有目标、预算执行有监控、预算完成有评价、评价结果有反馈、反馈结果有应用</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的全过程预算绩效管理机制。</w:t>
      </w:r>
    </w:p>
    <w:bookmarkEnd w:id="0"/>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七、</w:t>
      </w:r>
      <w:r>
        <w:rPr>
          <w:rStyle w:val="10"/>
          <w:rFonts w:hint="default" w:ascii="Times New Roman" w:hAnsi="Times New Roman" w:eastAsia="黑体" w:cs="Times New Roman"/>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B7A7F4-A7D8-45A3-BC3D-CD09C73738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2526B47D-A691-4E22-B2D0-E14C02FDB718}"/>
  </w:font>
  <w:font w:name="仿宋_GB2312">
    <w:panose1 w:val="02010609030101010101"/>
    <w:charset w:val="86"/>
    <w:family w:val="modern"/>
    <w:pitch w:val="default"/>
    <w:sig w:usb0="00000001" w:usb1="080E0000" w:usb2="00000000" w:usb3="00000000" w:csb0="00040000" w:csb1="00000000"/>
    <w:embedRegular r:id="rId3" w:fontKey="{C9F1D2D0-F749-45B1-85F8-29D5436FF6D1}"/>
  </w:font>
  <w:font w:name="方正楷体_GBK">
    <w:panose1 w:val="03000509000000000000"/>
    <w:charset w:val="86"/>
    <w:family w:val="script"/>
    <w:pitch w:val="default"/>
    <w:sig w:usb0="00000001" w:usb1="080E0000" w:usb2="00000000" w:usb3="00000000" w:csb0="00040000" w:csb1="00000000"/>
    <w:embedRegular r:id="rId4" w:fontKey="{7466B61C-6336-4CAC-B040-58F4B165199A}"/>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3D42E2E"/>
    <w:rsid w:val="043C5F8E"/>
    <w:rsid w:val="049941F3"/>
    <w:rsid w:val="04A60F90"/>
    <w:rsid w:val="04D2103C"/>
    <w:rsid w:val="04D550AF"/>
    <w:rsid w:val="054D2E98"/>
    <w:rsid w:val="06B83B39"/>
    <w:rsid w:val="06DE29E2"/>
    <w:rsid w:val="071579E5"/>
    <w:rsid w:val="07702E6D"/>
    <w:rsid w:val="07A86AAB"/>
    <w:rsid w:val="07C65825"/>
    <w:rsid w:val="081D1247"/>
    <w:rsid w:val="09067414"/>
    <w:rsid w:val="09170A81"/>
    <w:rsid w:val="0AB614DF"/>
    <w:rsid w:val="0AC27E84"/>
    <w:rsid w:val="0B0F5B25"/>
    <w:rsid w:val="0BD256C9"/>
    <w:rsid w:val="0D3F0613"/>
    <w:rsid w:val="0D617282"/>
    <w:rsid w:val="0F661726"/>
    <w:rsid w:val="0F772EC6"/>
    <w:rsid w:val="0F877334"/>
    <w:rsid w:val="10182B28"/>
    <w:rsid w:val="109160DD"/>
    <w:rsid w:val="10947BCD"/>
    <w:rsid w:val="10E32902"/>
    <w:rsid w:val="1122342A"/>
    <w:rsid w:val="114B3E5E"/>
    <w:rsid w:val="115E3FEE"/>
    <w:rsid w:val="116B384E"/>
    <w:rsid w:val="11DD16C8"/>
    <w:rsid w:val="126E269F"/>
    <w:rsid w:val="127A77C1"/>
    <w:rsid w:val="130A20A3"/>
    <w:rsid w:val="13352CE1"/>
    <w:rsid w:val="13E07D60"/>
    <w:rsid w:val="150177FB"/>
    <w:rsid w:val="152E30D5"/>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175E0D"/>
    <w:rsid w:val="1D632B53"/>
    <w:rsid w:val="1D7602A9"/>
    <w:rsid w:val="1DC83D3D"/>
    <w:rsid w:val="1E613949"/>
    <w:rsid w:val="1EAE0073"/>
    <w:rsid w:val="1F195A2C"/>
    <w:rsid w:val="205102FB"/>
    <w:rsid w:val="20762FC4"/>
    <w:rsid w:val="209D2ACD"/>
    <w:rsid w:val="212C60E2"/>
    <w:rsid w:val="21DB6E7F"/>
    <w:rsid w:val="21DE15EF"/>
    <w:rsid w:val="23021A8B"/>
    <w:rsid w:val="2320540D"/>
    <w:rsid w:val="23254B60"/>
    <w:rsid w:val="236E0539"/>
    <w:rsid w:val="23E6478B"/>
    <w:rsid w:val="2422471A"/>
    <w:rsid w:val="24A85EE5"/>
    <w:rsid w:val="24DB72C2"/>
    <w:rsid w:val="263962DE"/>
    <w:rsid w:val="265C24B0"/>
    <w:rsid w:val="275807AF"/>
    <w:rsid w:val="276460F3"/>
    <w:rsid w:val="27660FAF"/>
    <w:rsid w:val="277166D1"/>
    <w:rsid w:val="277B4318"/>
    <w:rsid w:val="27B7194D"/>
    <w:rsid w:val="27E37B45"/>
    <w:rsid w:val="280600C8"/>
    <w:rsid w:val="28081174"/>
    <w:rsid w:val="28481571"/>
    <w:rsid w:val="28722F64"/>
    <w:rsid w:val="289B5D70"/>
    <w:rsid w:val="290A1EBC"/>
    <w:rsid w:val="296879F1"/>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5109A5"/>
    <w:rsid w:val="35612ABD"/>
    <w:rsid w:val="375B2943"/>
    <w:rsid w:val="37AB5678"/>
    <w:rsid w:val="38086A4E"/>
    <w:rsid w:val="38C32119"/>
    <w:rsid w:val="38EE054F"/>
    <w:rsid w:val="39440A0C"/>
    <w:rsid w:val="398443D3"/>
    <w:rsid w:val="398C3287"/>
    <w:rsid w:val="39A60AF6"/>
    <w:rsid w:val="3AA12D62"/>
    <w:rsid w:val="3AC04B59"/>
    <w:rsid w:val="3B2319C9"/>
    <w:rsid w:val="3B5D5890"/>
    <w:rsid w:val="3BA6683D"/>
    <w:rsid w:val="3BC431AC"/>
    <w:rsid w:val="3C012639"/>
    <w:rsid w:val="3C5E087C"/>
    <w:rsid w:val="3D8870BF"/>
    <w:rsid w:val="3DA52B6A"/>
    <w:rsid w:val="3E833FCF"/>
    <w:rsid w:val="3EE14392"/>
    <w:rsid w:val="3EE3321B"/>
    <w:rsid w:val="3EE93EED"/>
    <w:rsid w:val="3F177A97"/>
    <w:rsid w:val="3FF57BF1"/>
    <w:rsid w:val="409C64A6"/>
    <w:rsid w:val="40C87049"/>
    <w:rsid w:val="40FE4A6B"/>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A83F51"/>
    <w:rsid w:val="4BE53646"/>
    <w:rsid w:val="4C431ECB"/>
    <w:rsid w:val="4C8A7AFA"/>
    <w:rsid w:val="4CC33C9F"/>
    <w:rsid w:val="4E760D0B"/>
    <w:rsid w:val="4E8F65E3"/>
    <w:rsid w:val="4EC80245"/>
    <w:rsid w:val="4ED65AC3"/>
    <w:rsid w:val="4F596A69"/>
    <w:rsid w:val="50063DD3"/>
    <w:rsid w:val="502E6B39"/>
    <w:rsid w:val="504133D8"/>
    <w:rsid w:val="505863A4"/>
    <w:rsid w:val="50591CBD"/>
    <w:rsid w:val="50A240F7"/>
    <w:rsid w:val="51971C1E"/>
    <w:rsid w:val="51FF2E33"/>
    <w:rsid w:val="525877BC"/>
    <w:rsid w:val="5272504D"/>
    <w:rsid w:val="52CA50F4"/>
    <w:rsid w:val="543D24BF"/>
    <w:rsid w:val="548754B8"/>
    <w:rsid w:val="54CA318A"/>
    <w:rsid w:val="55517AB0"/>
    <w:rsid w:val="56391E05"/>
    <w:rsid w:val="57192BB8"/>
    <w:rsid w:val="5734671F"/>
    <w:rsid w:val="57423EBA"/>
    <w:rsid w:val="57813298"/>
    <w:rsid w:val="57AE7CE9"/>
    <w:rsid w:val="57BB500C"/>
    <w:rsid w:val="58586CFE"/>
    <w:rsid w:val="58711B6E"/>
    <w:rsid w:val="58753EBA"/>
    <w:rsid w:val="58E426FC"/>
    <w:rsid w:val="58FC3B2E"/>
    <w:rsid w:val="59063548"/>
    <w:rsid w:val="5A6776CD"/>
    <w:rsid w:val="5ADD1E8F"/>
    <w:rsid w:val="5AE6303A"/>
    <w:rsid w:val="5B155A7C"/>
    <w:rsid w:val="5B442B97"/>
    <w:rsid w:val="5B745BFD"/>
    <w:rsid w:val="5B977B3E"/>
    <w:rsid w:val="5C5B0B6B"/>
    <w:rsid w:val="5CB643E4"/>
    <w:rsid w:val="5CF36FF6"/>
    <w:rsid w:val="5D8D11F8"/>
    <w:rsid w:val="5E2D5305"/>
    <w:rsid w:val="5E4F2952"/>
    <w:rsid w:val="5ECA1FD8"/>
    <w:rsid w:val="5F1D65AC"/>
    <w:rsid w:val="5F230066"/>
    <w:rsid w:val="5F41229A"/>
    <w:rsid w:val="5F814D8D"/>
    <w:rsid w:val="5FA47678"/>
    <w:rsid w:val="5FE455B0"/>
    <w:rsid w:val="60504E56"/>
    <w:rsid w:val="60535261"/>
    <w:rsid w:val="62127F1E"/>
    <w:rsid w:val="627A5057"/>
    <w:rsid w:val="62A033DD"/>
    <w:rsid w:val="62B113CD"/>
    <w:rsid w:val="62BD03DB"/>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430B7A"/>
    <w:rsid w:val="67EE0E11"/>
    <w:rsid w:val="68DF3109"/>
    <w:rsid w:val="693F2885"/>
    <w:rsid w:val="699F5DE9"/>
    <w:rsid w:val="6A097E59"/>
    <w:rsid w:val="6A9776F8"/>
    <w:rsid w:val="6AAF0A00"/>
    <w:rsid w:val="6AEF34F2"/>
    <w:rsid w:val="6B234F4A"/>
    <w:rsid w:val="6BB362CE"/>
    <w:rsid w:val="6C5F0204"/>
    <w:rsid w:val="6C69186D"/>
    <w:rsid w:val="6C7D443F"/>
    <w:rsid w:val="6C8851EE"/>
    <w:rsid w:val="6CCF1622"/>
    <w:rsid w:val="6CE7035E"/>
    <w:rsid w:val="6DB1246A"/>
    <w:rsid w:val="6EAE5472"/>
    <w:rsid w:val="6F086931"/>
    <w:rsid w:val="702F5608"/>
    <w:rsid w:val="708F2CC4"/>
    <w:rsid w:val="709444F0"/>
    <w:rsid w:val="710E3FA6"/>
    <w:rsid w:val="71182116"/>
    <w:rsid w:val="71205936"/>
    <w:rsid w:val="713A7B56"/>
    <w:rsid w:val="71477CCB"/>
    <w:rsid w:val="7178018F"/>
    <w:rsid w:val="71BA40BB"/>
    <w:rsid w:val="71CD052F"/>
    <w:rsid w:val="729B7ABC"/>
    <w:rsid w:val="73740A39"/>
    <w:rsid w:val="73D43285"/>
    <w:rsid w:val="742B746E"/>
    <w:rsid w:val="74736F42"/>
    <w:rsid w:val="74CA7F29"/>
    <w:rsid w:val="752B1D3E"/>
    <w:rsid w:val="75913D16"/>
    <w:rsid w:val="763C0048"/>
    <w:rsid w:val="77135965"/>
    <w:rsid w:val="77262B54"/>
    <w:rsid w:val="772D4414"/>
    <w:rsid w:val="773A5C43"/>
    <w:rsid w:val="773F135E"/>
    <w:rsid w:val="775947BB"/>
    <w:rsid w:val="77AD276B"/>
    <w:rsid w:val="77B87094"/>
    <w:rsid w:val="77C96E08"/>
    <w:rsid w:val="78E27C50"/>
    <w:rsid w:val="79366790"/>
    <w:rsid w:val="79500F4C"/>
    <w:rsid w:val="7986195D"/>
    <w:rsid w:val="79E005EE"/>
    <w:rsid w:val="7A044DC4"/>
    <w:rsid w:val="7A865511"/>
    <w:rsid w:val="7AA20E97"/>
    <w:rsid w:val="7AAA4D40"/>
    <w:rsid w:val="7ABC4A73"/>
    <w:rsid w:val="7AC10876"/>
    <w:rsid w:val="7B1C6BD6"/>
    <w:rsid w:val="7B2F16E9"/>
    <w:rsid w:val="7B334ED0"/>
    <w:rsid w:val="7B9F061D"/>
    <w:rsid w:val="7BF72207"/>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autoRedefine/>
    <w:qFormat/>
    <w:uiPriority w:val="0"/>
    <w:pPr>
      <w:spacing w:after="120"/>
    </w:pPr>
  </w:style>
  <w:style w:type="paragraph" w:styleId="4">
    <w:name w:val="Body Text First Indent"/>
    <w:basedOn w:val="3"/>
    <w:next w:val="1"/>
    <w:qFormat/>
    <w:uiPriority w:val="0"/>
    <w:pPr>
      <w:ind w:firstLine="420" w:firstLineChars="100"/>
    </w:p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autoRedefine/>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autoRedefine/>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2</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2024-05-14T02:26:15Z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1C9BEACBDA3B45599B48254AF2D8B745_13</vt:lpwstr>
  </property>
</Properties>
</file>