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中共库尔勒市委员会办公室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在市党委的坚强领导下，库尔勒市党委办公室（档案局）以习近平新时代中国特色社会主义思想为指导，以做坚决贯彻落实社会稳定和长治久安总目标的表率机关为己任，自觉对标对表“五个坚持”和市党委部署要求，切实提高政治站位、提升工作质量、提振精神状态，建设让党放心、让人民满意的模范机关，打造市党委“坚强前哨”和“巩固后院”。以对党绝对忠诚的政治品格做好“三服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中共库尔勒市委员会办公室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13</w:t>
      </w:r>
      <w:r>
        <w:rPr>
          <w:rFonts w:hint="eastAsia" w:ascii="仿宋_GB2312" w:hAnsi="黑体" w:eastAsia="仿宋_GB2312" w:cs="宋体"/>
          <w:bCs/>
          <w:color w:val="auto"/>
          <w:kern w:val="0"/>
          <w:sz w:val="32"/>
          <w:szCs w:val="32"/>
          <w:highlight w:val="none"/>
        </w:rPr>
        <w:t>个处室，分别是：综合一室、综合秘书一室、综合秘书二室、综合二室、综合三室、综合四室、信息综合室、档案监督指导室、史志一室、史志二室、市党委全面深化改革委员会办公室、市党委国家安全委员会办公室、市党委财经委员会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918.48万元，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918.48万元，使用非财政拨款结余0.00万元，年初结转和结余0.00万元。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918.48万元，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918.48万元，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bookmarkStart w:id="10" w:name="_Toc1979"/>
      <w:bookmarkStart w:id="11" w:name="_Toc12142"/>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both"/>
        <w:textAlignment w:val="auto"/>
        <w:rPr>
          <w:rFonts w:hint="eastAsia"/>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230.41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33.49</w:t>
      </w:r>
      <w:r>
        <w:rPr>
          <w:rFonts w:hint="eastAsia" w:ascii="仿宋_GB2312" w:eastAsia="仿宋_GB2312"/>
          <w:color w:val="auto"/>
          <w:spacing w:val="0"/>
          <w:sz w:val="32"/>
          <w:szCs w:val="32"/>
          <w:highlight w:val="none"/>
          <w:lang w:eastAsia="zh-CN"/>
        </w:rPr>
        <w:t>%，主要原因是：基本支出增长</w:t>
      </w:r>
      <w:r>
        <w:rPr>
          <w:rFonts w:hint="eastAsia" w:ascii="仿宋_GB2312" w:eastAsia="仿宋_GB2312"/>
          <w:color w:val="auto"/>
          <w:spacing w:val="0"/>
          <w:sz w:val="32"/>
          <w:szCs w:val="32"/>
          <w:highlight w:val="none"/>
          <w:lang w:val="en-US" w:eastAsia="zh-CN"/>
        </w:rPr>
        <w:t>146.96万元（工资福利支出增加93.28万元及</w:t>
      </w:r>
      <w:r>
        <w:rPr>
          <w:rFonts w:hint="eastAsia" w:ascii="仿宋_GB2312" w:hAnsi="仿宋" w:eastAsia="仿宋_GB2312"/>
          <w:sz w:val="32"/>
          <w:szCs w:val="32"/>
          <w:lang w:val="en-US" w:eastAsia="zh-CN"/>
        </w:rPr>
        <w:t>购买3辆小汽车43.38万元</w:t>
      </w:r>
      <w:r>
        <w:rPr>
          <w:rFonts w:hint="eastAsia" w:ascii="仿宋_GB2312" w:eastAsia="仿宋_GB2312"/>
          <w:color w:val="auto"/>
          <w:spacing w:val="0"/>
          <w:sz w:val="32"/>
          <w:szCs w:val="32"/>
          <w:highlight w:val="none"/>
          <w:lang w:val="en-US" w:eastAsia="zh-CN"/>
        </w:rPr>
        <w:t>），项目支出增长83.45万元（购买</w:t>
      </w:r>
      <w:r>
        <w:rPr>
          <w:rFonts w:hint="eastAsia" w:ascii="仿宋_GB2312" w:hAnsi="仿宋" w:eastAsia="仿宋_GB2312"/>
          <w:sz w:val="32"/>
          <w:szCs w:val="32"/>
          <w:lang w:val="en-US" w:eastAsia="zh-CN"/>
        </w:rPr>
        <w:t>25台电脑30.81万元及线路租赁费30.96万元</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918.48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918.48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本年支出918.48万元，其中：基本支出771.63万元，占84.01%；项目支出146.85万元，占15.99%；上缴上级支出0.00万元，占0.00%；经营支出0.00万元，占0.00%；对附属单位补助支出0.00万元，占0.00%。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918.48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918.48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918.48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918.48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增加230.41万元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增长33.49%,</w:t>
      </w:r>
      <w:r>
        <w:rPr>
          <w:rFonts w:hint="eastAsia" w:ascii="仿宋_GB2312" w:eastAsia="仿宋_GB2312"/>
          <w:color w:val="auto"/>
          <w:spacing w:val="0"/>
          <w:sz w:val="32"/>
          <w:szCs w:val="32"/>
          <w:highlight w:val="none"/>
          <w:lang w:eastAsia="zh-CN"/>
        </w:rPr>
        <w:t>主要原因是：基本支出增长</w:t>
      </w:r>
      <w:r>
        <w:rPr>
          <w:rFonts w:hint="eastAsia" w:ascii="仿宋_GB2312" w:eastAsia="仿宋_GB2312"/>
          <w:color w:val="auto"/>
          <w:spacing w:val="0"/>
          <w:sz w:val="32"/>
          <w:szCs w:val="32"/>
          <w:highlight w:val="none"/>
          <w:lang w:val="en-US" w:eastAsia="zh-CN"/>
        </w:rPr>
        <w:t>146.96万元（工资福利支出增加93.28万元及</w:t>
      </w:r>
      <w:r>
        <w:rPr>
          <w:rFonts w:hint="eastAsia" w:ascii="仿宋_GB2312" w:hAnsi="仿宋" w:eastAsia="仿宋_GB2312"/>
          <w:sz w:val="32"/>
          <w:szCs w:val="32"/>
          <w:lang w:val="en-US" w:eastAsia="zh-CN"/>
        </w:rPr>
        <w:t>购买3辆小汽车43.38万元</w:t>
      </w:r>
      <w:r>
        <w:rPr>
          <w:rFonts w:hint="eastAsia" w:ascii="仿宋_GB2312" w:eastAsia="仿宋_GB2312"/>
          <w:color w:val="auto"/>
          <w:spacing w:val="0"/>
          <w:sz w:val="32"/>
          <w:szCs w:val="32"/>
          <w:highlight w:val="none"/>
          <w:lang w:val="en-US" w:eastAsia="zh-CN"/>
        </w:rPr>
        <w:t>），项目支出增长83.45万元（购买</w:t>
      </w:r>
      <w:r>
        <w:rPr>
          <w:rFonts w:hint="eastAsia" w:ascii="仿宋_GB2312" w:hAnsi="仿宋" w:eastAsia="仿宋_GB2312"/>
          <w:sz w:val="32"/>
          <w:szCs w:val="32"/>
          <w:lang w:val="en-US" w:eastAsia="zh-CN"/>
        </w:rPr>
        <w:t>25台电脑30.81万元及线路租赁费30.96万元</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865.84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918.48</w:t>
      </w:r>
      <w:r>
        <w:rPr>
          <w:rFonts w:hint="eastAsia" w:ascii="仿宋_GB2312" w:eastAsia="仿宋_GB2312"/>
          <w:color w:val="auto"/>
          <w:spacing w:val="0"/>
          <w:sz w:val="32"/>
          <w:szCs w:val="32"/>
          <w:highlight w:val="none"/>
          <w:lang w:eastAsia="zh-CN"/>
        </w:rPr>
        <w:t>万元，预决算差异率6.08%，主要原因是：</w:t>
      </w:r>
      <w:r>
        <w:rPr>
          <w:rFonts w:hint="eastAsia" w:ascii="仿宋_GB2312" w:hAnsi="仿宋" w:eastAsia="仿宋_GB2312"/>
          <w:sz w:val="32"/>
          <w:szCs w:val="32"/>
          <w:lang w:val="en-US" w:eastAsia="zh-CN"/>
        </w:rPr>
        <w:t>购买3辆小汽车元及25台电脑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2023年度一般公共预算财政拨款支出918.48万元，占本年支出合计的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增加230.41万元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增长33.49%,</w:t>
      </w:r>
      <w:r>
        <w:rPr>
          <w:rFonts w:hint="eastAsia" w:ascii="仿宋_GB2312" w:eastAsia="仿宋_GB2312"/>
          <w:color w:val="auto"/>
          <w:spacing w:val="0"/>
          <w:sz w:val="32"/>
          <w:szCs w:val="32"/>
          <w:highlight w:val="none"/>
          <w:lang w:eastAsia="zh-CN"/>
        </w:rPr>
        <w:t>主要原因是：基本支出增长</w:t>
      </w:r>
      <w:r>
        <w:rPr>
          <w:rFonts w:hint="eastAsia" w:ascii="仿宋_GB2312" w:eastAsia="仿宋_GB2312"/>
          <w:color w:val="auto"/>
          <w:spacing w:val="0"/>
          <w:sz w:val="32"/>
          <w:szCs w:val="32"/>
          <w:highlight w:val="none"/>
          <w:lang w:val="en-US" w:eastAsia="zh-CN"/>
        </w:rPr>
        <w:t>146.96万元（工资福利支出增加93.28万元及</w:t>
      </w:r>
      <w:r>
        <w:rPr>
          <w:rFonts w:hint="eastAsia" w:ascii="仿宋_GB2312" w:hAnsi="仿宋" w:eastAsia="仿宋_GB2312"/>
          <w:sz w:val="32"/>
          <w:szCs w:val="32"/>
          <w:lang w:val="en-US" w:eastAsia="zh-CN"/>
        </w:rPr>
        <w:t>购买3辆小汽车43.38万元</w:t>
      </w:r>
      <w:r>
        <w:rPr>
          <w:rFonts w:hint="eastAsia" w:ascii="仿宋_GB2312" w:eastAsia="仿宋_GB2312"/>
          <w:color w:val="auto"/>
          <w:spacing w:val="0"/>
          <w:sz w:val="32"/>
          <w:szCs w:val="32"/>
          <w:highlight w:val="none"/>
          <w:lang w:val="en-US" w:eastAsia="zh-CN"/>
        </w:rPr>
        <w:t>），项目支出增长83.45万元（购买</w:t>
      </w:r>
      <w:r>
        <w:rPr>
          <w:rFonts w:hint="eastAsia" w:ascii="仿宋_GB2312" w:hAnsi="仿宋" w:eastAsia="仿宋_GB2312"/>
          <w:sz w:val="32"/>
          <w:szCs w:val="32"/>
          <w:lang w:val="en-US" w:eastAsia="zh-CN"/>
        </w:rPr>
        <w:t>25台电脑30.81万元及线路租赁费30.96万元</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865.84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918.48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6.08%</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val="en-US" w:eastAsia="zh-CN"/>
        </w:rPr>
        <w:t>购买3辆小汽车元及25台电脑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728.05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79.27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89.52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9.75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42.56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55.78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.一般公共服务支出（类）党委办公厅（室）及相关机构事务（款）行政运行（项）:支出决算数为581.20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99.67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20.70%，主要原因是：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缴费基数增加，支出增加及</w:t>
      </w:r>
      <w:r>
        <w:rPr>
          <w:rFonts w:hint="eastAsia" w:ascii="仿宋_GB2312" w:hAnsi="仿宋" w:eastAsia="仿宋_GB2312"/>
          <w:sz w:val="32"/>
          <w:szCs w:val="32"/>
          <w:lang w:val="en-US" w:eastAsia="zh-CN"/>
        </w:rPr>
        <w:t>购买3辆小汽车</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.一般公共服务支出（类）党委办公厅（室）及相关机构事务（款）其他党委办公厅（室）及相关机构事务支出（项）:支出决算数为146.85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83.44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w:t>
      </w:r>
      <w:r>
        <w:rPr>
          <w:rFonts w:hint="eastAsia" w:eastAsia="仿宋_GB2312" w:cs="Times New Roman"/>
          <w:color w:val="auto"/>
          <w:kern w:val="2"/>
          <w:sz w:val="32"/>
          <w:szCs w:val="32"/>
          <w:highlight w:val="none"/>
          <w:lang w:val="en-US" w:eastAsia="zh-CN" w:bidi="ar-SA"/>
        </w:rPr>
        <w:t>59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购买</w:t>
      </w:r>
      <w:r>
        <w:rPr>
          <w:rFonts w:hint="eastAsia" w:ascii="仿宋_GB2312" w:hAnsi="仿宋" w:eastAsia="仿宋_GB2312"/>
          <w:sz w:val="32"/>
          <w:szCs w:val="32"/>
          <w:lang w:val="en-US" w:eastAsia="zh-CN"/>
        </w:rPr>
        <w:t>25台电脑30.81万元及线路租赁费30.96万元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.教育支出（类）进修及培训（款）培训支出（项）:支出决算数为2.57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w:t>
      </w:r>
      <w:r>
        <w:rPr>
          <w:rFonts w:hint="eastAsia" w:eastAsia="仿宋_GB2312" w:cs="Times New Roman"/>
          <w:color w:val="auto"/>
          <w:kern w:val="2"/>
          <w:sz w:val="32"/>
          <w:szCs w:val="32"/>
          <w:highlight w:val="none"/>
          <w:lang w:val="en-US" w:eastAsia="zh-CN" w:bidi="ar-SA"/>
        </w:rPr>
        <w:t>29.03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培训人次较上年大幅增加。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.社会保障和就业支出（类）行政事业单位养老支出（款）行政单位离退休（项）:支出决算数为9.77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55.3</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.社会保障和就业支出（类）行政事业单位养老支出（款）机关事业单位基本养老保险缴费支出（项）:支出决算数为70.81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31.01%，主要原因是：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.社会保障和就业支出（类）行政事业单位养老支出（款）机关事业单位职业年金缴费支出（项）:支出决算数为8.94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增加退休职工</w:t>
      </w:r>
      <w:r>
        <w:rPr>
          <w:rFonts w:hint="eastAsia" w:eastAsia="仿宋_GB2312" w:cs="Times New Roman"/>
          <w:color w:val="auto"/>
          <w:kern w:val="2"/>
          <w:sz w:val="32"/>
          <w:szCs w:val="32"/>
          <w:highlight w:val="none"/>
          <w:lang w:val="en-US" w:eastAsia="zh-CN" w:bidi="ar-SA"/>
        </w:rPr>
        <w:t>1人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.卫生健康支出（类）行政事业单位医疗（款）行政单位医疗（项）:支出决算数为35.29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24.3</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13.55%，主要原因是：</w:t>
      </w:r>
      <w:r>
        <w:rPr>
          <w:rFonts w:hint="eastAsia" w:ascii="仿宋_GB2312" w:hAnsi="仿宋" w:eastAsia="仿宋_GB2312"/>
          <w:sz w:val="32"/>
          <w:szCs w:val="32"/>
          <w:lang w:val="en-US" w:eastAsia="zh-CN"/>
        </w:rPr>
        <w:t>2022年度该功能科目中有退休职工的公务员医疗补助，2023年则无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.住房保障支出（类）住房改革支出（款）住房公积金（项）:支出决算数为55.78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22.05%，主要原因是：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771.63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702.16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医疗费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69.47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办公费、邮电费、差旅费、培训费、工会经费、福利费、公务用车购置。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“三公”经费支出43.38万元，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增加43.38万元，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主要原因是：公务用车购置</w:t>
      </w:r>
      <w:r>
        <w:rPr>
          <w:rFonts w:hint="eastAsia" w:ascii="仿宋_GB2312" w:hAnsi="仿宋" w:eastAsia="仿宋_GB2312"/>
          <w:sz w:val="32"/>
          <w:szCs w:val="32"/>
          <w:lang w:val="en-US" w:eastAsia="zh-CN"/>
        </w:rPr>
        <w:t>3辆小汽车</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本年无因公出国（境）费支出，与上年相比无变动</w:t>
      </w:r>
      <w:r>
        <w:rPr>
          <w:rFonts w:hint="eastAsia" w:ascii="仿宋_GB2312" w:eastAsia="仿宋_GB2312"/>
          <w:color w:val="auto"/>
          <w:sz w:val="32"/>
          <w:szCs w:val="32"/>
          <w:highlight w:val="none"/>
          <w:lang w:val="zh-CN" w:eastAsia="zh-CN"/>
        </w:rPr>
        <w:t>；公务用车购置及运行维护费支出43.38万元，占100.00%，比上年增加43.38万元，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主要原因是：公务用车运行维护费开支内容包括我单位无公务用车运行维护费，公务用车购置</w:t>
      </w:r>
      <w:r>
        <w:rPr>
          <w:rFonts w:hint="eastAsia" w:ascii="仿宋_GB2312" w:hAnsi="仿宋" w:eastAsia="仿宋_GB2312"/>
          <w:sz w:val="32"/>
          <w:szCs w:val="32"/>
          <w:lang w:val="en-US" w:eastAsia="zh-CN"/>
        </w:rPr>
        <w:t>3辆小汽车</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本年无公务接待费支出，与上年相比无变动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本年未安排因公出国（境）费支出，无开支内容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43.38万元，其中：公务用车购置费43.38万元，公务用车运行维护费0.00万元。公务用车运行维护费开支内容包括我单位无公务用车运行维护费，公务用车购置数3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原因是：市委办的工作业务用车全部给机关事务管理局使用</w:t>
      </w: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lang w:val="zh-CN" w:eastAsia="zh-CN"/>
        </w:rPr>
        <w:t>辆小汽车（资产有车，但无车管理权限及运行维护费用）。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hAnsi="宋体" w:eastAsia="仿宋_GB2312" w:cs="宋体"/>
          <w:kern w:val="0"/>
          <w:sz w:val="32"/>
          <w:szCs w:val="32"/>
        </w:rPr>
        <w:t>本年未安排公务接待费支出，无开支内容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预算数43.38万元，决算数43.38万元，预决算差异率0.00%，主要原因是：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预算数43.38万元，决算数43.38万元，预决算差异率0.00%，主要原因是：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；公务用车运行维护费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公务用车运行维护费支出；公务接待费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中共库尔勒市委员会办公室（行政单位）机关运行经费支出69.47万元，</w:t>
      </w:r>
      <w:r>
        <w:rPr>
          <w:rFonts w:hint="eastAsia" w:ascii="Times New Roman" w:hAnsi="Times New Roman" w:eastAsia="仿宋_GB2312" w:cs="Times New Roman"/>
          <w:color w:val="auto"/>
          <w:sz w:val="32"/>
          <w:szCs w:val="32"/>
          <w:highlight w:val="none"/>
          <w:lang w:val="zh-CN" w:eastAsia="zh-CN"/>
        </w:rPr>
        <w:t>比上年增加56.00万元，增长415.7</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hAnsi="仿宋" w:eastAsia="仿宋_GB2312"/>
          <w:sz w:val="32"/>
          <w:szCs w:val="32"/>
          <w:lang w:val="en-US" w:eastAsia="zh-CN"/>
        </w:rPr>
        <w:t>购买3辆小汽车</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47.13万元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其中：政府采购货物支出47.13万元、政府采购工程支出0.00万元、政府采购服务支出0.00万元。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授予中小企业合同金额3.75万元，占政府采购支出总额的7.96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，其中：授予小微企业合同金额3.75万元，占政府采购支出总额的7.96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1,243.46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屋0.0平方米，价值0.00万元。车辆14辆，价值230.93万元，其中：副部（省）级及以上领导用车0辆、主要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w:t>
      </w:r>
      <w:r>
        <w:rPr>
          <w:rFonts w:hint="eastAsia" w:eastAsia="仿宋_GB2312" w:cs="Times New Roman"/>
          <w:color w:val="auto"/>
          <w:sz w:val="32"/>
          <w:szCs w:val="32"/>
          <w:highlight w:val="none"/>
          <w:lang w:val="zh-CN" w:eastAsia="zh-CN"/>
        </w:rPr>
        <w:t>工作业务</w:t>
      </w:r>
      <w:r>
        <w:rPr>
          <w:rFonts w:hint="eastAsia" w:ascii="Times New Roman" w:hAnsi="Times New Roman" w:eastAsia="仿宋_GB2312" w:cs="Times New Roman"/>
          <w:color w:val="auto"/>
          <w:sz w:val="32"/>
          <w:szCs w:val="32"/>
          <w:highlight w:val="none"/>
          <w:lang w:val="zh-CN" w:eastAsia="zh-CN"/>
        </w:rPr>
        <w:t>用车14辆，</w:t>
      </w:r>
      <w:r>
        <w:rPr>
          <w:rFonts w:hint="eastAsia" w:eastAsia="仿宋_GB2312" w:cs="Times New Roman"/>
          <w:color w:val="auto"/>
          <w:sz w:val="32"/>
          <w:szCs w:val="32"/>
          <w:highlight w:val="none"/>
          <w:lang w:val="zh-CN" w:eastAsia="zh-CN"/>
        </w:rPr>
        <w:t>工作业务</w:t>
      </w:r>
      <w:r>
        <w:rPr>
          <w:rFonts w:hint="eastAsia" w:ascii="Times New Roman" w:hAnsi="Times New Roman" w:eastAsia="仿宋_GB2312" w:cs="Times New Roman"/>
          <w:color w:val="auto"/>
          <w:sz w:val="32"/>
          <w:szCs w:val="32"/>
          <w:highlight w:val="none"/>
          <w:lang w:val="zh-CN" w:eastAsia="zh-CN"/>
        </w:rPr>
        <w:t>用车主要是：</w:t>
      </w:r>
      <w:bookmarkStart w:id="48" w:name="_GoBack"/>
      <w:bookmarkEnd w:id="48"/>
      <w:r>
        <w:rPr>
          <w:rFonts w:hint="eastAsia" w:eastAsia="仿宋_GB2312" w:cs="Times New Roman"/>
          <w:color w:val="auto"/>
          <w:sz w:val="32"/>
          <w:szCs w:val="32"/>
          <w:highlight w:val="none"/>
          <w:lang w:val="zh-CN" w:eastAsia="zh-CN"/>
        </w:rPr>
        <w:t>工作业务用车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预算总额865.84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实际执行总额918.48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全年预算数153.46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全年执行数138.27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rPr>
        <w:t>一是按照“谁使用、谁监控”的原则，我</w:t>
      </w:r>
      <w:r>
        <w:rPr>
          <w:rFonts w:hint="eastAsia" w:ascii="仿宋_GB2312" w:eastAsia="仿宋_GB2312"/>
          <w:sz w:val="32"/>
          <w:szCs w:val="32"/>
          <w:lang w:eastAsia="zh-CN"/>
        </w:rPr>
        <w:t>馆</w:t>
      </w:r>
      <w:r>
        <w:rPr>
          <w:rFonts w:hint="eastAsia" w:ascii="仿宋_GB2312" w:eastAsia="仿宋_GB2312"/>
          <w:sz w:val="32"/>
          <w:szCs w:val="32"/>
        </w:rPr>
        <w:t>对照年初设定的绩效目标，对202</w:t>
      </w:r>
      <w:r>
        <w:rPr>
          <w:rFonts w:hint="eastAsia" w:ascii="仿宋_GB2312" w:eastAsia="仿宋_GB2312"/>
          <w:sz w:val="32"/>
          <w:szCs w:val="32"/>
          <w:lang w:val="en-US" w:eastAsia="zh-CN"/>
        </w:rPr>
        <w:t>3</w:t>
      </w:r>
      <w:r>
        <w:rPr>
          <w:rFonts w:hint="eastAsia" w:ascii="仿宋_GB2312" w:eastAsia="仿宋_GB2312"/>
          <w:sz w:val="32"/>
          <w:szCs w:val="32"/>
        </w:rPr>
        <w:t>年已到位的市本级财力安排的项目实施进度及预期实现程度进行跟踪监控；二是我</w:t>
      </w:r>
      <w:r>
        <w:rPr>
          <w:rFonts w:hint="eastAsia" w:ascii="仿宋_GB2312" w:eastAsia="仿宋_GB2312"/>
          <w:sz w:val="32"/>
          <w:szCs w:val="32"/>
          <w:lang w:eastAsia="zh-CN"/>
        </w:rPr>
        <w:t>馆</w:t>
      </w:r>
      <w:r>
        <w:rPr>
          <w:rFonts w:hint="eastAsia" w:ascii="仿宋_GB2312" w:eastAsia="仿宋_GB2312"/>
          <w:sz w:val="32"/>
          <w:szCs w:val="32"/>
        </w:rPr>
        <w:t>逐项填报《专项转移支付绩效监控情况表》和《部门单位项目支出绩效监控情况表》，及时反映出了资金执行情况和目标完成情况，并分析绩效目标执行出现偏差的原因和采取的措施。发现的问题及原因：一是项目绩效目标完成情况与项目资金支出进度存在脱节情况；二是填报内容过于简单，对绩效目标偏差问题缺乏有效分析，无法监控绩效目标的实现程度，还有待进一步提升单位整体绩效管理理念。下一步改进措施：一是强化对项目资金绩效实现情况的责任约束，对专项资金偏离预算绩效目标的支出，及时采取有效措施予以纠正，进一步规范专项资金使用绩效；二是加强财政资金使用效益跟踪“回头看”，针对资金绩效运行状况，及时预控、查找资金使用和管理过程中的薄弱环节，提出纠偏措施</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pPr>
      <w:r>
        <w:drawing>
          <wp:inline distT="0" distB="0" distL="114300" distR="114300">
            <wp:extent cx="5269230" cy="8422640"/>
            <wp:effectExtent l="0" t="0" r="7620" b="165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5269230" cy="8422640"/>
                    </a:xfrm>
                    <a:prstGeom prst="rect">
                      <a:avLst/>
                    </a:prstGeom>
                    <a:noFill/>
                    <a:ln>
                      <a:noFill/>
                    </a:ln>
                  </pic:spPr>
                </pic:pic>
              </a:graphicData>
            </a:graphic>
          </wp:inline>
        </w:drawing>
      </w:r>
    </w:p>
    <w:p>
      <w:pPr>
        <w:bidi w:val="0"/>
        <w:rPr>
          <w:rFonts w:hint="eastAsia"/>
          <w:lang w:eastAsia="zh-CN"/>
        </w:rPr>
      </w:pPr>
    </w:p>
    <w:p>
      <w:pPr>
        <w:bidi w:val="0"/>
        <w:rPr>
          <w:rFonts w:hint="eastAsia"/>
          <w:lang w:eastAsia="zh-CN"/>
        </w:rPr>
      </w:pPr>
      <w:r>
        <w:drawing>
          <wp:inline distT="0" distB="0" distL="114300" distR="114300">
            <wp:extent cx="5266690" cy="7767320"/>
            <wp:effectExtent l="0" t="0" r="10160" b="50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5266690" cy="7767320"/>
                    </a:xfrm>
                    <a:prstGeom prst="rect">
                      <a:avLst/>
                    </a:prstGeom>
                    <a:noFill/>
                    <a:ln>
                      <a:noFill/>
                    </a:ln>
                  </pic:spPr>
                </pic:pic>
              </a:graphicData>
            </a:graphic>
          </wp:inline>
        </w:drawing>
      </w:r>
    </w:p>
    <w:p>
      <w:pPr>
        <w:bidi w:val="0"/>
        <w:jc w:val="center"/>
        <w:rPr>
          <w:rFonts w:hint="eastAsia"/>
          <w:lang w:eastAsia="zh-CN"/>
        </w:rPr>
      </w:pPr>
    </w:p>
    <w:p>
      <w:pPr>
        <w:pStyle w:val="2"/>
        <w:rPr>
          <w:rFonts w:hint="eastAsia"/>
          <w:lang w:eastAsia="zh-CN"/>
        </w:rPr>
      </w:pPr>
      <w:r>
        <w:drawing>
          <wp:inline distT="0" distB="0" distL="114300" distR="114300">
            <wp:extent cx="5266055" cy="7660640"/>
            <wp:effectExtent l="0" t="0" r="10795" b="1651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5266055" cy="7660640"/>
                    </a:xfrm>
                    <a:prstGeom prst="rect">
                      <a:avLst/>
                    </a:prstGeom>
                    <a:noFill/>
                    <a:ln>
                      <a:noFill/>
                    </a:ln>
                  </pic:spPr>
                </pic:pic>
              </a:graphicData>
            </a:graphic>
          </wp:inline>
        </w:drawing>
      </w:r>
    </w:p>
    <w:p>
      <w:pPr>
        <w:rPr>
          <w:rFonts w:hint="eastAsia"/>
          <w:lang w:eastAsia="zh-CN"/>
        </w:rPr>
      </w:pPr>
    </w:p>
    <w:p>
      <w:pPr>
        <w:pStyle w:val="2"/>
        <w:rPr>
          <w:rFonts w:hint="eastAsia"/>
          <w:lang w:eastAsia="zh-CN"/>
        </w:rPr>
      </w:pPr>
      <w:r>
        <w:drawing>
          <wp:inline distT="0" distB="0" distL="114300" distR="114300">
            <wp:extent cx="5271135" cy="8251825"/>
            <wp:effectExtent l="0" t="0" r="5715" b="1587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5271135" cy="8251825"/>
                    </a:xfrm>
                    <a:prstGeom prst="rect">
                      <a:avLst/>
                    </a:prstGeom>
                    <a:noFill/>
                    <a:ln>
                      <a:noFill/>
                    </a:ln>
                  </pic:spPr>
                </pic:pic>
              </a:graphicData>
            </a:graphic>
          </wp:inline>
        </w:drawing>
      </w:r>
    </w:p>
    <w:p>
      <w:pPr>
        <w:rPr>
          <w:rFonts w:hint="eastAsia"/>
          <w:lang w:eastAsia="zh-CN"/>
        </w:rPr>
      </w:pPr>
    </w:p>
    <w:p>
      <w:pPr>
        <w:pStyle w:val="2"/>
        <w:rPr>
          <w:rFonts w:hint="eastAsia"/>
          <w:lang w:eastAsia="zh-CN"/>
        </w:rPr>
      </w:pPr>
      <w:r>
        <w:drawing>
          <wp:inline distT="0" distB="0" distL="114300" distR="114300">
            <wp:extent cx="5269230" cy="7459980"/>
            <wp:effectExtent l="0" t="0" r="7620" b="762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9"/>
                    <a:stretch>
                      <a:fillRect/>
                    </a:stretch>
                  </pic:blipFill>
                  <pic:spPr>
                    <a:xfrm>
                      <a:off x="0" y="0"/>
                      <a:ext cx="5269230" cy="7459980"/>
                    </a:xfrm>
                    <a:prstGeom prst="rect">
                      <a:avLst/>
                    </a:prstGeom>
                    <a:noFill/>
                    <a:ln>
                      <a:noFill/>
                    </a:ln>
                  </pic:spPr>
                </pic:pic>
              </a:graphicData>
            </a:graphic>
          </wp:inline>
        </w:drawing>
      </w:r>
    </w:p>
    <w:p>
      <w:pPr>
        <w:rPr>
          <w:rFonts w:hint="eastAsia"/>
          <w:lang w:eastAsia="zh-CN"/>
        </w:rPr>
      </w:pPr>
    </w:p>
    <w:p>
      <w:pPr>
        <w:pStyle w:val="2"/>
      </w:pPr>
    </w:p>
    <w:p>
      <w:pPr>
        <w:bidi w:val="0"/>
        <w:rPr>
          <w:rFonts w:hint="eastAsia"/>
          <w:lang w:eastAsia="zh-CN"/>
        </w:rPr>
      </w:pPr>
    </w:p>
    <w:p>
      <w:pPr>
        <w:bidi w:val="0"/>
        <w:jc w:val="center"/>
        <w:rPr>
          <w:rFonts w:hint="eastAsia"/>
          <w:lang w:eastAsia="zh-CN"/>
        </w:rPr>
      </w:pPr>
      <w:r>
        <w:drawing>
          <wp:anchor distT="0" distB="0" distL="114935" distR="114935" simplePos="0" relativeHeight="251658240" behindDoc="0" locked="0" layoutInCell="1" allowOverlap="1">
            <wp:simplePos x="0" y="0"/>
            <wp:positionH relativeFrom="column">
              <wp:posOffset>0</wp:posOffset>
            </wp:positionH>
            <wp:positionV relativeFrom="paragraph">
              <wp:posOffset>41910</wp:posOffset>
            </wp:positionV>
            <wp:extent cx="5272405" cy="8035925"/>
            <wp:effectExtent l="0" t="0" r="4445" b="317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272405" cy="8035925"/>
                    </a:xfrm>
                    <a:prstGeom prst="rect">
                      <a:avLst/>
                    </a:prstGeom>
                    <a:noFill/>
                    <a:ln>
                      <a:noFill/>
                    </a:ln>
                  </pic:spPr>
                </pic:pic>
              </a:graphicData>
            </a:graphic>
          </wp:anchor>
        </w:drawing>
      </w:r>
    </w:p>
    <w:p>
      <w:pPr>
        <w:pStyle w:val="2"/>
        <w:rPr>
          <w:rFonts w:hint="eastAsia"/>
          <w:lang w:eastAsia="zh-CN"/>
        </w:rPr>
      </w:pPr>
      <w:r>
        <w:drawing>
          <wp:inline distT="0" distB="0" distL="114300" distR="114300">
            <wp:extent cx="5264785" cy="2970530"/>
            <wp:effectExtent l="0" t="0" r="12065" b="127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1"/>
                    <a:stretch>
                      <a:fillRect/>
                    </a:stretch>
                  </pic:blipFill>
                  <pic:spPr>
                    <a:xfrm>
                      <a:off x="0" y="0"/>
                      <a:ext cx="5264785" cy="2970530"/>
                    </a:xfrm>
                    <a:prstGeom prst="rect">
                      <a:avLst/>
                    </a:prstGeom>
                    <a:noFill/>
                    <a:ln>
                      <a:noFill/>
                    </a:ln>
                  </pic:spPr>
                </pic:pic>
              </a:graphicData>
            </a:graphic>
          </wp:inline>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pStyle w:val="2"/>
      </w:pPr>
    </w:p>
    <w:p>
      <w:pPr>
        <w:bidi w:val="0"/>
        <w:rPr>
          <w:rFonts w:hint="eastAsia"/>
          <w:lang w:eastAsia="zh-CN"/>
        </w:rPr>
      </w:pPr>
    </w:p>
    <w:p>
      <w:pPr>
        <w:bidi w:val="0"/>
        <w:rPr>
          <w:rFonts w:hint="eastAsia"/>
          <w:lang w:eastAsia="zh-CN"/>
        </w:rPr>
      </w:pPr>
    </w:p>
    <w:p>
      <w:pPr>
        <w:bidi w:val="0"/>
        <w:rPr>
          <w:rFonts w:hint="eastAsia"/>
          <w:lang w:eastAsia="zh-CN"/>
        </w:rPr>
      </w:pPr>
    </w:p>
    <w:p>
      <w:pPr>
        <w:bidi w:val="0"/>
        <w:jc w:val="cente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p>
    <w:p>
      <w:pPr>
        <w:pStyle w:val="2"/>
        <w:rPr>
          <w:rFonts w:hint="eastAsia"/>
          <w:lang w:val="en-US" w:eastAsia="zh-CN"/>
        </w:rPr>
      </w:pPr>
      <w:r>
        <w:drawing>
          <wp:inline distT="0" distB="0" distL="114300" distR="114300">
            <wp:extent cx="5269865" cy="3105150"/>
            <wp:effectExtent l="0" t="0" r="6985"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2"/>
                    <a:stretch>
                      <a:fillRect/>
                    </a:stretch>
                  </pic:blipFill>
                  <pic:spPr>
                    <a:xfrm>
                      <a:off x="0" y="0"/>
                      <a:ext cx="5269865" cy="3105150"/>
                    </a:xfrm>
                    <a:prstGeom prst="rect">
                      <a:avLst/>
                    </a:prstGeom>
                    <a:noFill/>
                    <a:ln>
                      <a:noFill/>
                    </a:ln>
                  </pic:spPr>
                </pic:pic>
              </a:graphicData>
            </a:graphic>
          </wp:inline>
        </w:drawing>
      </w:r>
    </w:p>
    <w:p>
      <w:pPr>
        <w:rPr>
          <w:rFonts w:hint="eastAsia"/>
          <w:lang w:val="en-US" w:eastAsia="zh-CN"/>
        </w:rPr>
      </w:pPr>
    </w:p>
    <w:p>
      <w:pPr>
        <w:pStyle w:val="2"/>
        <w:rPr>
          <w:rFonts w:hint="eastAsia"/>
          <w:lang w:val="en-US" w:eastAsia="zh-CN"/>
        </w:rPr>
      </w:pPr>
    </w:p>
    <w:p>
      <w:pPr>
        <w:rPr>
          <w:rFonts w:hint="eastAsia"/>
          <w:lang w:val="en-US"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r>
        <w:drawing>
          <wp:inline distT="0" distB="0" distL="114300" distR="114300">
            <wp:extent cx="5267325" cy="3500120"/>
            <wp:effectExtent l="0" t="0" r="9525" b="508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3"/>
                    <a:stretch>
                      <a:fillRect/>
                    </a:stretch>
                  </pic:blipFill>
                  <pic:spPr>
                    <a:xfrm>
                      <a:off x="0" y="0"/>
                      <a:ext cx="5267325" cy="3500120"/>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323E89"/>
    <w:rsid w:val="019404F8"/>
    <w:rsid w:val="01D75E89"/>
    <w:rsid w:val="02BD3108"/>
    <w:rsid w:val="02F73D26"/>
    <w:rsid w:val="034D4FEF"/>
    <w:rsid w:val="035D1785"/>
    <w:rsid w:val="039F47CE"/>
    <w:rsid w:val="03E05CE8"/>
    <w:rsid w:val="03F973EE"/>
    <w:rsid w:val="043E5B56"/>
    <w:rsid w:val="04BD09E8"/>
    <w:rsid w:val="04C04386"/>
    <w:rsid w:val="04D96608"/>
    <w:rsid w:val="04FA68C4"/>
    <w:rsid w:val="053F5AE6"/>
    <w:rsid w:val="057C0B0F"/>
    <w:rsid w:val="05EF4B48"/>
    <w:rsid w:val="05F76ECA"/>
    <w:rsid w:val="066F7BB0"/>
    <w:rsid w:val="06792773"/>
    <w:rsid w:val="068E0769"/>
    <w:rsid w:val="07093795"/>
    <w:rsid w:val="07804730"/>
    <w:rsid w:val="079052BE"/>
    <w:rsid w:val="08145C21"/>
    <w:rsid w:val="08422688"/>
    <w:rsid w:val="085854ED"/>
    <w:rsid w:val="0879188F"/>
    <w:rsid w:val="08A0354D"/>
    <w:rsid w:val="08CD4C49"/>
    <w:rsid w:val="09114954"/>
    <w:rsid w:val="095A5B83"/>
    <w:rsid w:val="096466E3"/>
    <w:rsid w:val="0968304D"/>
    <w:rsid w:val="09AF3D17"/>
    <w:rsid w:val="0A321BA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C91190"/>
    <w:rsid w:val="0F1113DA"/>
    <w:rsid w:val="0F78534A"/>
    <w:rsid w:val="0F89358A"/>
    <w:rsid w:val="0F8C6D51"/>
    <w:rsid w:val="105B0B5E"/>
    <w:rsid w:val="112E58D0"/>
    <w:rsid w:val="11731CAC"/>
    <w:rsid w:val="119500A0"/>
    <w:rsid w:val="11C0733B"/>
    <w:rsid w:val="11D50D17"/>
    <w:rsid w:val="120E0809"/>
    <w:rsid w:val="127F665A"/>
    <w:rsid w:val="12F7068C"/>
    <w:rsid w:val="131916FE"/>
    <w:rsid w:val="140D2A14"/>
    <w:rsid w:val="14207DC0"/>
    <w:rsid w:val="14B932DA"/>
    <w:rsid w:val="150A66AF"/>
    <w:rsid w:val="154C1139"/>
    <w:rsid w:val="158C5B77"/>
    <w:rsid w:val="160D1149"/>
    <w:rsid w:val="163563C0"/>
    <w:rsid w:val="164315EF"/>
    <w:rsid w:val="16557DFE"/>
    <w:rsid w:val="167268FB"/>
    <w:rsid w:val="16770D0A"/>
    <w:rsid w:val="16D50C50"/>
    <w:rsid w:val="16E120E1"/>
    <w:rsid w:val="1714013A"/>
    <w:rsid w:val="17385A05"/>
    <w:rsid w:val="173B3901"/>
    <w:rsid w:val="176747F9"/>
    <w:rsid w:val="17954A6E"/>
    <w:rsid w:val="180059E9"/>
    <w:rsid w:val="184510FD"/>
    <w:rsid w:val="190648B0"/>
    <w:rsid w:val="19071D6C"/>
    <w:rsid w:val="19D26CD4"/>
    <w:rsid w:val="19E60D19"/>
    <w:rsid w:val="1A3E3450"/>
    <w:rsid w:val="1A5D095E"/>
    <w:rsid w:val="1AD807E5"/>
    <w:rsid w:val="1B39345B"/>
    <w:rsid w:val="1BFB2A1F"/>
    <w:rsid w:val="1C015D4A"/>
    <w:rsid w:val="1C290ED5"/>
    <w:rsid w:val="1C317E4F"/>
    <w:rsid w:val="1C472464"/>
    <w:rsid w:val="1D22799A"/>
    <w:rsid w:val="1D5C1A72"/>
    <w:rsid w:val="1DAF458D"/>
    <w:rsid w:val="1E086ACE"/>
    <w:rsid w:val="1E62130A"/>
    <w:rsid w:val="1E6A318A"/>
    <w:rsid w:val="1E97358B"/>
    <w:rsid w:val="1EAA4A5F"/>
    <w:rsid w:val="1EE869A7"/>
    <w:rsid w:val="1FA15E62"/>
    <w:rsid w:val="1FED69B6"/>
    <w:rsid w:val="2064678E"/>
    <w:rsid w:val="20DC1AB9"/>
    <w:rsid w:val="20DD6197"/>
    <w:rsid w:val="212631E0"/>
    <w:rsid w:val="21A53757"/>
    <w:rsid w:val="221236C6"/>
    <w:rsid w:val="22251CF4"/>
    <w:rsid w:val="22D7662C"/>
    <w:rsid w:val="23326B7F"/>
    <w:rsid w:val="2380045B"/>
    <w:rsid w:val="23BC04D2"/>
    <w:rsid w:val="23EF1892"/>
    <w:rsid w:val="2483647E"/>
    <w:rsid w:val="24A32D55"/>
    <w:rsid w:val="25024967"/>
    <w:rsid w:val="25292727"/>
    <w:rsid w:val="252E5CA9"/>
    <w:rsid w:val="256F7692"/>
    <w:rsid w:val="25BA2154"/>
    <w:rsid w:val="25C8773F"/>
    <w:rsid w:val="264A7253"/>
    <w:rsid w:val="26F0170C"/>
    <w:rsid w:val="27201D62"/>
    <w:rsid w:val="27286E73"/>
    <w:rsid w:val="2787395F"/>
    <w:rsid w:val="27CF2642"/>
    <w:rsid w:val="27E777F5"/>
    <w:rsid w:val="27EA1D4C"/>
    <w:rsid w:val="27EA2E41"/>
    <w:rsid w:val="282459E2"/>
    <w:rsid w:val="283A7FE5"/>
    <w:rsid w:val="285F51FF"/>
    <w:rsid w:val="28DF2665"/>
    <w:rsid w:val="28E14D33"/>
    <w:rsid w:val="29072599"/>
    <w:rsid w:val="290E07F8"/>
    <w:rsid w:val="291029F3"/>
    <w:rsid w:val="29CB58F0"/>
    <w:rsid w:val="2A053397"/>
    <w:rsid w:val="2A145E96"/>
    <w:rsid w:val="2A2131BB"/>
    <w:rsid w:val="2A647B1C"/>
    <w:rsid w:val="2AF5378F"/>
    <w:rsid w:val="2BB94DBF"/>
    <w:rsid w:val="2C6F314E"/>
    <w:rsid w:val="2CC206BE"/>
    <w:rsid w:val="2D1136DF"/>
    <w:rsid w:val="2D20606D"/>
    <w:rsid w:val="2D96099B"/>
    <w:rsid w:val="2DB87198"/>
    <w:rsid w:val="2DB93C54"/>
    <w:rsid w:val="2E1F50C0"/>
    <w:rsid w:val="2E3D144C"/>
    <w:rsid w:val="2E891204"/>
    <w:rsid w:val="2F3F0A28"/>
    <w:rsid w:val="2FBF7029"/>
    <w:rsid w:val="2FD0187F"/>
    <w:rsid w:val="2FD27414"/>
    <w:rsid w:val="2FF26C5D"/>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7F0602"/>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443DF"/>
    <w:rsid w:val="3EEC6CEF"/>
    <w:rsid w:val="3F183429"/>
    <w:rsid w:val="3FB77A1D"/>
    <w:rsid w:val="3FDC3674"/>
    <w:rsid w:val="3FED7F8A"/>
    <w:rsid w:val="40094AEF"/>
    <w:rsid w:val="402C04CA"/>
    <w:rsid w:val="405470BD"/>
    <w:rsid w:val="405919B6"/>
    <w:rsid w:val="40794A29"/>
    <w:rsid w:val="40834692"/>
    <w:rsid w:val="41431AD5"/>
    <w:rsid w:val="414B3C0F"/>
    <w:rsid w:val="417C1CE7"/>
    <w:rsid w:val="41900018"/>
    <w:rsid w:val="41944406"/>
    <w:rsid w:val="41CE128F"/>
    <w:rsid w:val="41DA6F12"/>
    <w:rsid w:val="42171FB1"/>
    <w:rsid w:val="42BC678F"/>
    <w:rsid w:val="434E6957"/>
    <w:rsid w:val="43BA0E31"/>
    <w:rsid w:val="43C15147"/>
    <w:rsid w:val="43E14DD2"/>
    <w:rsid w:val="43F800E9"/>
    <w:rsid w:val="443A7E4B"/>
    <w:rsid w:val="452F5B3A"/>
    <w:rsid w:val="454E7FD2"/>
    <w:rsid w:val="46061BDC"/>
    <w:rsid w:val="461404F8"/>
    <w:rsid w:val="46413018"/>
    <w:rsid w:val="46472568"/>
    <w:rsid w:val="464B7E04"/>
    <w:rsid w:val="468041AA"/>
    <w:rsid w:val="468123C6"/>
    <w:rsid w:val="46901EEE"/>
    <w:rsid w:val="469C74D2"/>
    <w:rsid w:val="4700494F"/>
    <w:rsid w:val="47445515"/>
    <w:rsid w:val="474B4782"/>
    <w:rsid w:val="47D90D14"/>
    <w:rsid w:val="48387FB0"/>
    <w:rsid w:val="483A6114"/>
    <w:rsid w:val="484D44E4"/>
    <w:rsid w:val="48527CCA"/>
    <w:rsid w:val="486A1997"/>
    <w:rsid w:val="488727DB"/>
    <w:rsid w:val="48B82268"/>
    <w:rsid w:val="48C354B3"/>
    <w:rsid w:val="493D58B5"/>
    <w:rsid w:val="494A7A04"/>
    <w:rsid w:val="49700D8A"/>
    <w:rsid w:val="4A0A26D2"/>
    <w:rsid w:val="4A2019A5"/>
    <w:rsid w:val="4A241A0B"/>
    <w:rsid w:val="4A7B2875"/>
    <w:rsid w:val="4A934476"/>
    <w:rsid w:val="4AAA220A"/>
    <w:rsid w:val="4AE12E67"/>
    <w:rsid w:val="4B4C0111"/>
    <w:rsid w:val="4B8553A9"/>
    <w:rsid w:val="4BDB3730"/>
    <w:rsid w:val="4C200F7A"/>
    <w:rsid w:val="4CEE3180"/>
    <w:rsid w:val="4D0F4AF6"/>
    <w:rsid w:val="4D6F200B"/>
    <w:rsid w:val="4DF94F37"/>
    <w:rsid w:val="4E0A1DD5"/>
    <w:rsid w:val="4E3160E5"/>
    <w:rsid w:val="4E4D37AF"/>
    <w:rsid w:val="4E8C6496"/>
    <w:rsid w:val="4EA249D6"/>
    <w:rsid w:val="4EFD18DE"/>
    <w:rsid w:val="4F144236"/>
    <w:rsid w:val="4F306CFC"/>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916694"/>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3381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216862"/>
    <w:rsid w:val="5CBB0CE2"/>
    <w:rsid w:val="5CC17177"/>
    <w:rsid w:val="5CF306BC"/>
    <w:rsid w:val="5D1E77BC"/>
    <w:rsid w:val="5D3F3D64"/>
    <w:rsid w:val="5D7F6D50"/>
    <w:rsid w:val="5D833043"/>
    <w:rsid w:val="5DD92690"/>
    <w:rsid w:val="5DDB1CFD"/>
    <w:rsid w:val="5E7E6D93"/>
    <w:rsid w:val="5ED44800"/>
    <w:rsid w:val="5F350BDE"/>
    <w:rsid w:val="5F61632C"/>
    <w:rsid w:val="5FA17648"/>
    <w:rsid w:val="5FE705CB"/>
    <w:rsid w:val="603D5080"/>
    <w:rsid w:val="606C2D2D"/>
    <w:rsid w:val="60D0261B"/>
    <w:rsid w:val="61400522"/>
    <w:rsid w:val="618E3791"/>
    <w:rsid w:val="61947DCA"/>
    <w:rsid w:val="61A46A97"/>
    <w:rsid w:val="61D1382F"/>
    <w:rsid w:val="61F114A2"/>
    <w:rsid w:val="62512BB4"/>
    <w:rsid w:val="625D7D1A"/>
    <w:rsid w:val="62DD7D21"/>
    <w:rsid w:val="637D586B"/>
    <w:rsid w:val="63A5560B"/>
    <w:rsid w:val="63E9091F"/>
    <w:rsid w:val="64322AF9"/>
    <w:rsid w:val="64A50B1B"/>
    <w:rsid w:val="64D6010D"/>
    <w:rsid w:val="64D82665"/>
    <w:rsid w:val="64E47C96"/>
    <w:rsid w:val="651E5741"/>
    <w:rsid w:val="658A4877"/>
    <w:rsid w:val="65A00902"/>
    <w:rsid w:val="65AC6EDD"/>
    <w:rsid w:val="65D97752"/>
    <w:rsid w:val="66085536"/>
    <w:rsid w:val="66105BF7"/>
    <w:rsid w:val="66150023"/>
    <w:rsid w:val="6628010D"/>
    <w:rsid w:val="669B4528"/>
    <w:rsid w:val="66CC12D7"/>
    <w:rsid w:val="66CF6503"/>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E70785"/>
    <w:rsid w:val="6B68175F"/>
    <w:rsid w:val="6BFD799F"/>
    <w:rsid w:val="6C4A2E5A"/>
    <w:rsid w:val="6C8138D0"/>
    <w:rsid w:val="6CEF0725"/>
    <w:rsid w:val="6D4B2604"/>
    <w:rsid w:val="6D8030E4"/>
    <w:rsid w:val="6E0E35C4"/>
    <w:rsid w:val="6E0F7A08"/>
    <w:rsid w:val="6E3947F5"/>
    <w:rsid w:val="6E9C74ED"/>
    <w:rsid w:val="6EB36F36"/>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C71344"/>
    <w:rsid w:val="72D068C7"/>
    <w:rsid w:val="72E42ED8"/>
    <w:rsid w:val="734940A9"/>
    <w:rsid w:val="735F4CB9"/>
    <w:rsid w:val="73674C62"/>
    <w:rsid w:val="73845865"/>
    <w:rsid w:val="739B6D9E"/>
    <w:rsid w:val="73BC1D76"/>
    <w:rsid w:val="73FB6630"/>
    <w:rsid w:val="748D790E"/>
    <w:rsid w:val="749820CC"/>
    <w:rsid w:val="74CE04EC"/>
    <w:rsid w:val="74E76DCD"/>
    <w:rsid w:val="751D7C0A"/>
    <w:rsid w:val="752E133E"/>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1E0004"/>
    <w:rsid w:val="795A0A34"/>
    <w:rsid w:val="797339C3"/>
    <w:rsid w:val="79D57D57"/>
    <w:rsid w:val="79F00650"/>
    <w:rsid w:val="7A6242BF"/>
    <w:rsid w:val="7A794513"/>
    <w:rsid w:val="7AE952D2"/>
    <w:rsid w:val="7C7248A0"/>
    <w:rsid w:val="7C976D69"/>
    <w:rsid w:val="7CB61F73"/>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before="260" w:after="260" w:line="416" w:lineRule="auto"/>
      <w:textAlignment w:val="baseline"/>
    </w:pPr>
    <w:rPr>
      <w:rFonts w:ascii="Calibri" w:hAnsi="Calibri" w:eastAsia="宋体"/>
      <w:b/>
      <w:bCs/>
      <w:szCs w:val="32"/>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3</TotalTime>
  <ScaleCrop>false</ScaleCrop>
  <LinksUpToDate>false</LinksUpToDate>
  <CharactersWithSpaces>20937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2024-12-02T04:30:07Z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D624B15633CD43C8BF9435464A96BF70</vt:lpwstr>
  </property>
</Properties>
</file>