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中共库尔勒市委员会办公室</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2023年度</w:t>
      </w:r>
      <w:r>
        <w:rPr>
          <w:rFonts w:hint="eastAsia" w:ascii="方正小标宋_GBK" w:hAnsi="宋体" w:eastAsia="方正小标宋_GBK"/>
          <w:color w:val="auto"/>
          <w:sz w:val="44"/>
          <w:szCs w:val="44"/>
          <w:highlight w:val="none"/>
        </w:rPr>
        <w:t>部门决算</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部门</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24028"/>
      <w:bookmarkStart w:id="1" w:name="_Toc32314"/>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部门</w:t>
      </w:r>
      <w:r>
        <w:rPr>
          <w:rFonts w:hint="eastAsia" w:ascii="黑体" w:hAnsi="黑体" w:eastAsia="黑体"/>
          <w:color w:val="auto"/>
          <w:sz w:val="32"/>
          <w:szCs w:val="32"/>
          <w:highlight w:val="none"/>
        </w:rPr>
        <w:t>概况</w:t>
      </w:r>
      <w:bookmarkEnd w:id="0"/>
      <w:bookmarkEnd w:id="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567"/>
      <w:bookmarkStart w:id="3" w:name="_Toc30738"/>
      <w:r>
        <w:rPr>
          <w:rFonts w:hint="eastAsia" w:ascii="黑体" w:hAnsi="黑体" w:eastAsia="黑体" w:cs="宋体"/>
          <w:bCs/>
          <w:color w:val="auto"/>
          <w:kern w:val="0"/>
          <w:sz w:val="32"/>
          <w:szCs w:val="32"/>
          <w:highlight w:val="none"/>
        </w:rPr>
        <w:t>一、主要职能</w:t>
      </w:r>
      <w:bookmarkEnd w:id="2"/>
      <w:bookmarkEnd w:id="3"/>
    </w:p>
    <w:p>
      <w:pPr>
        <w:ind w:firstLine="640" w:firstLineChars="200"/>
        <w:rPr>
          <w:rFonts w:hint="eastAsia" w:ascii="仿宋_GB2312" w:eastAsia="仿宋_GB2312"/>
          <w:color w:val="auto"/>
          <w:sz w:val="32"/>
          <w:szCs w:val="32"/>
          <w:highlight w:val="none"/>
        </w:rPr>
      </w:pPr>
      <w:bookmarkStart w:id="4" w:name="_Toc31238"/>
      <w:bookmarkStart w:id="5" w:name="_Toc2151"/>
      <w:r>
        <w:rPr>
          <w:rFonts w:hint="eastAsia"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23</w:t>
      </w:r>
      <w:r>
        <w:rPr>
          <w:rFonts w:hint="eastAsia" w:ascii="仿宋_GB2312" w:eastAsia="仿宋_GB2312"/>
          <w:color w:val="auto"/>
          <w:sz w:val="32"/>
          <w:szCs w:val="32"/>
          <w:highlight w:val="none"/>
        </w:rPr>
        <w:t>年，在市党委的坚强领导下，库尔勒市党委办公室（档案局）以习近平新时代中国特色社会主义思想为指导，以做坚决贯彻落实社会稳定和长治久安总目标的表率机关为己任，自觉对标对表“五个坚持”和市党委部署要求，切实提高政治站位、提升工作质量、提振精神状态，建设让党放心、让人民满意的模范机关，打造市党委“坚强前哨”和“巩固后院”。以对党绝对忠诚的政治品格做好“三服务”工作。</w:t>
      </w:r>
    </w:p>
    <w:p>
      <w:pPr>
        <w:ind w:left="155" w:firstLine="640" w:firstLineChars="200"/>
        <w:rPr>
          <w:rFonts w:hint="eastAsia" w:ascii="仿宋_GB2312" w:eastAsia="仿宋_GB2312"/>
          <w:color w:val="auto"/>
          <w:sz w:val="32"/>
          <w:szCs w:val="32"/>
          <w:highlight w:val="none"/>
        </w:rPr>
      </w:pPr>
      <w:r>
        <w:rPr>
          <w:rFonts w:hint="eastAsia" w:ascii="仿宋_GB2312" w:hAnsi="仿宋" w:eastAsia="仿宋_GB2312"/>
          <w:sz w:val="32"/>
          <w:szCs w:val="32"/>
        </w:rPr>
        <w:t>承担库尔勒市至自治州、自治州的电报传输、办理和管理工作，对全市</w:t>
      </w:r>
      <w:r>
        <w:rPr>
          <w:rFonts w:hint="eastAsia" w:ascii="仿宋_GB2312" w:hAnsi="仿宋" w:eastAsia="仿宋_GB2312"/>
          <w:sz w:val="32"/>
          <w:szCs w:val="32"/>
          <w:lang w:eastAsia="zh-CN"/>
        </w:rPr>
        <w:t>保密</w:t>
      </w:r>
      <w:r>
        <w:rPr>
          <w:rFonts w:hint="eastAsia" w:ascii="仿宋_GB2312" w:hAnsi="仿宋" w:eastAsia="仿宋_GB2312"/>
          <w:sz w:val="32"/>
          <w:szCs w:val="32"/>
        </w:rPr>
        <w:t>工作进行检查指导</w:t>
      </w:r>
      <w:r>
        <w:rPr>
          <w:rFonts w:hint="eastAsia" w:ascii="仿宋_GB2312" w:hAnsi="仿宋" w:eastAsia="仿宋_GB2312"/>
          <w:sz w:val="32"/>
          <w:szCs w:val="32"/>
          <w:lang w:eastAsia="zh-CN"/>
        </w:rPr>
        <w:t>宣传教育培训</w:t>
      </w:r>
      <w:r>
        <w:rPr>
          <w:rFonts w:hint="eastAsia" w:ascii="仿宋_GB2312" w:hAnsi="仿宋" w:eastAsia="仿宋_GB2312"/>
          <w:sz w:val="32"/>
          <w:szCs w:val="32"/>
        </w:rPr>
        <w:t>。依法履行</w:t>
      </w:r>
      <w:r>
        <w:rPr>
          <w:rFonts w:hint="eastAsia" w:ascii="仿宋_GB2312" w:hAnsi="仿宋" w:eastAsia="仿宋_GB2312"/>
          <w:sz w:val="32"/>
          <w:szCs w:val="32"/>
          <w:lang w:eastAsia="zh-CN"/>
        </w:rPr>
        <w:t>机要、保密行</w:t>
      </w:r>
      <w:r>
        <w:rPr>
          <w:rFonts w:hint="eastAsia" w:ascii="仿宋_GB2312" w:hAnsi="仿宋" w:eastAsia="仿宋_GB2312"/>
          <w:sz w:val="32"/>
          <w:szCs w:val="32"/>
        </w:rPr>
        <w:t>政管理职能，承担全市</w:t>
      </w:r>
      <w:r>
        <w:rPr>
          <w:rFonts w:hint="eastAsia" w:ascii="仿宋_GB2312" w:hAnsi="仿宋" w:eastAsia="仿宋_GB2312"/>
          <w:sz w:val="32"/>
          <w:szCs w:val="32"/>
          <w:lang w:eastAsia="zh-CN"/>
        </w:rPr>
        <w:t>密码管理、涉密网络工程管理、保密检查指导、保密技术服务</w:t>
      </w:r>
      <w:r>
        <w:rPr>
          <w:rFonts w:hint="eastAsia" w:ascii="仿宋_GB2312" w:hAnsi="仿宋" w:eastAsia="仿宋_GB2312"/>
          <w:sz w:val="32"/>
          <w:szCs w:val="32"/>
        </w:rPr>
        <w:t>和</w:t>
      </w:r>
      <w:r>
        <w:rPr>
          <w:rFonts w:hint="eastAsia" w:ascii="仿宋_GB2312" w:hAnsi="仿宋" w:eastAsia="仿宋_GB2312"/>
          <w:sz w:val="32"/>
          <w:szCs w:val="32"/>
          <w:lang w:eastAsia="zh-CN"/>
        </w:rPr>
        <w:t>涉密网络</w:t>
      </w:r>
      <w:r>
        <w:rPr>
          <w:rFonts w:hint="eastAsia" w:ascii="仿宋_GB2312" w:hAnsi="仿宋" w:eastAsia="仿宋_GB2312"/>
          <w:sz w:val="32"/>
          <w:szCs w:val="32"/>
        </w:rPr>
        <w:t>安全测评</w:t>
      </w:r>
      <w:r>
        <w:rPr>
          <w:rFonts w:hint="eastAsia" w:ascii="仿宋_GB2312" w:hAnsi="仿宋" w:eastAsia="仿宋_GB2312"/>
          <w:sz w:val="32"/>
          <w:szCs w:val="32"/>
          <w:lang w:eastAsia="zh-CN"/>
        </w:rPr>
        <w:t>等相关工作</w:t>
      </w:r>
      <w:r>
        <w:rPr>
          <w:rFonts w:hint="eastAsia" w:ascii="仿宋_GB2312" w:hAnsi="仿宋" w:eastAsia="仿宋_GB2312"/>
          <w:sz w:val="32"/>
          <w:szCs w:val="32"/>
        </w:rPr>
        <w:t>，</w:t>
      </w:r>
      <w:r>
        <w:rPr>
          <w:rFonts w:hint="eastAsia" w:ascii="仿宋_GB2312" w:hAnsi="仿宋" w:eastAsia="仿宋_GB2312"/>
          <w:sz w:val="32"/>
          <w:szCs w:val="32"/>
          <w:lang w:eastAsia="zh-CN"/>
        </w:rPr>
        <w:t>负责</w:t>
      </w:r>
      <w:r>
        <w:rPr>
          <w:rFonts w:hint="eastAsia" w:ascii="仿宋_GB2312" w:hAnsi="仿宋" w:eastAsia="仿宋_GB2312"/>
          <w:sz w:val="32"/>
          <w:szCs w:val="32"/>
        </w:rPr>
        <w:t>组织查处机要</w:t>
      </w:r>
      <w:r>
        <w:rPr>
          <w:rFonts w:hint="eastAsia" w:ascii="仿宋_GB2312" w:hAnsi="仿宋" w:eastAsia="仿宋_GB2312"/>
          <w:sz w:val="32"/>
          <w:szCs w:val="32"/>
          <w:lang w:eastAsia="zh-CN"/>
        </w:rPr>
        <w:t>、保密</w:t>
      </w:r>
      <w:r>
        <w:rPr>
          <w:rFonts w:hint="eastAsia" w:ascii="仿宋_GB2312" w:hAnsi="仿宋" w:eastAsia="仿宋_GB2312"/>
          <w:sz w:val="32"/>
          <w:szCs w:val="32"/>
        </w:rPr>
        <w:t>失泄密等违法违规行为。</w:t>
      </w:r>
    </w:p>
    <w:p>
      <w:pPr>
        <w:ind w:firstLine="640" w:firstLineChars="200"/>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eastAsia="zh-CN"/>
        </w:rPr>
        <w:t>贯彻执行《中华人民共和国档案法》《中华人民共和国档案法实施办法》，按规定整理和保管各类重要档案资料，保守党和国家秘密，维护档案完整，确保档案安全；</w:t>
      </w:r>
      <w:r>
        <w:rPr>
          <w:rFonts w:hint="eastAsia" w:ascii="仿宋_GB2312" w:eastAsia="仿宋_GB2312"/>
          <w:color w:val="auto"/>
          <w:sz w:val="32"/>
          <w:szCs w:val="32"/>
          <w:highlight w:val="none"/>
        </w:rPr>
        <w:t>负责对全市立档单位到期移交档案的集中保管;做好档案编研出版工作;</w:t>
      </w:r>
      <w:r>
        <w:rPr>
          <w:rFonts w:hint="eastAsia" w:ascii="仿宋_GB2312" w:eastAsia="仿宋_GB2312"/>
          <w:color w:val="auto"/>
          <w:sz w:val="32"/>
          <w:szCs w:val="32"/>
          <w:highlight w:val="none"/>
          <w:lang w:eastAsia="zh-CN"/>
        </w:rPr>
        <w:t>负责馆藏档案资源信息开发和提供利用，依法向社会开放馆藏档案；负责档案信息化建设，接收、征集、保管、利用电子档案，为电子档案、传统载体档案数字化成果提供支持和服务，推进档案工作的科学化、信息化和现代化管理；管理库尔勒市爱国主义教育基地、库尔勒地情馆，向社会开展爱国主义、革命传统教育和市情知识宣传教育活动；负责库尔勒市政府信息公开和库尔勒市现行文件阅览中心的查阅服务工作；完成市委办公室（档案局）交办的其他任务。</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b/>
          <w:color w:val="auto"/>
          <w:sz w:val="32"/>
          <w:szCs w:val="32"/>
          <w:highlight w:val="none"/>
        </w:rPr>
      </w:pPr>
      <w:r>
        <w:rPr>
          <w:rFonts w:hint="eastAsia" w:ascii="仿宋_GB2312" w:eastAsia="仿宋_GB2312"/>
          <w:color w:val="auto"/>
          <w:sz w:val="32"/>
          <w:szCs w:val="32"/>
          <w:highlight w:val="none"/>
          <w:lang w:val="en-US" w:eastAsia="zh-CN"/>
        </w:rPr>
        <w:t>中共库尔勒市委员会办公室</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105</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67</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38</w:t>
      </w:r>
      <w:r>
        <w:rPr>
          <w:rFonts w:hint="eastAsia" w:ascii="仿宋_GB2312" w:eastAsia="仿宋_GB2312"/>
          <w:color w:val="auto"/>
          <w:sz w:val="32"/>
          <w:szCs w:val="32"/>
          <w:highlight w:val="none"/>
        </w:rPr>
        <w:t>人。</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从</w:t>
      </w:r>
      <w:r>
        <w:rPr>
          <w:rFonts w:hint="eastAsia" w:ascii="仿宋_GB2312" w:eastAsia="仿宋_GB2312"/>
          <w:color w:val="auto"/>
          <w:sz w:val="32"/>
          <w:szCs w:val="32"/>
          <w:highlight w:val="none"/>
          <w:lang w:eastAsia="zh-CN"/>
        </w:rPr>
        <w:t>部门</w:t>
      </w:r>
      <w:r>
        <w:rPr>
          <w:rFonts w:hint="eastAsia" w:ascii="仿宋_GB2312" w:eastAsia="仿宋_GB2312"/>
          <w:color w:val="auto"/>
          <w:sz w:val="32"/>
          <w:szCs w:val="32"/>
          <w:highlight w:val="none"/>
        </w:rPr>
        <w:t>决算单位构成看，</w:t>
      </w:r>
      <w:r>
        <w:rPr>
          <w:rFonts w:hint="eastAsia" w:ascii="仿宋_GB2312" w:eastAsia="仿宋_GB2312"/>
          <w:color w:val="auto"/>
          <w:sz w:val="32"/>
          <w:szCs w:val="32"/>
          <w:highlight w:val="none"/>
          <w:lang w:val="en-US" w:eastAsia="zh-CN"/>
        </w:rPr>
        <w:t>中共库尔勒市委员会办公室</w:t>
      </w:r>
      <w:r>
        <w:rPr>
          <w:rFonts w:hint="eastAsia" w:ascii="仿宋_GB2312" w:eastAsia="仿宋_GB2312"/>
          <w:color w:val="auto"/>
          <w:sz w:val="32"/>
          <w:szCs w:val="32"/>
          <w:highlight w:val="none"/>
        </w:rPr>
        <w:t>部门决算包括：</w:t>
      </w:r>
      <w:r>
        <w:rPr>
          <w:rFonts w:hint="eastAsia" w:ascii="仿宋_GB2312" w:eastAsia="仿宋_GB2312"/>
          <w:color w:val="auto"/>
          <w:sz w:val="32"/>
          <w:szCs w:val="32"/>
          <w:highlight w:val="none"/>
          <w:lang w:val="en-US" w:eastAsia="zh-CN"/>
        </w:rPr>
        <w:t>中共库尔勒市委员会办公室</w:t>
      </w:r>
      <w:r>
        <w:rPr>
          <w:rFonts w:hint="eastAsia" w:ascii="仿宋_GB2312" w:eastAsia="仿宋_GB2312"/>
          <w:color w:val="auto"/>
          <w:sz w:val="32"/>
          <w:szCs w:val="32"/>
          <w:highlight w:val="none"/>
        </w:rPr>
        <w:t>本级决算</w:t>
      </w:r>
      <w:r>
        <w:rPr>
          <w:rFonts w:hint="eastAsia" w:ascii="仿宋_GB2312" w:eastAsia="仿宋_GB2312"/>
          <w:color w:val="auto"/>
          <w:sz w:val="32"/>
          <w:szCs w:val="32"/>
          <w:highlight w:val="none"/>
          <w:lang w:eastAsia="zh-CN"/>
        </w:rPr>
        <w:t>及</w:t>
      </w:r>
      <w:r>
        <w:rPr>
          <w:rFonts w:hint="eastAsia" w:ascii="仿宋_GB2312" w:eastAsia="仿宋_GB2312"/>
          <w:color w:val="auto"/>
          <w:sz w:val="32"/>
          <w:szCs w:val="32"/>
          <w:highlight w:val="none"/>
        </w:rPr>
        <w:t>所属单位决算。</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en-US" w:eastAsia="zh-CN"/>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eastAsia="仿宋_GB2312"/>
          <w:color w:val="auto"/>
          <w:sz w:val="32"/>
          <w:szCs w:val="32"/>
          <w:highlight w:val="none"/>
          <w:lang w:val="en-US" w:eastAsia="zh-CN"/>
        </w:rPr>
        <w:t>中共库尔勒市委员会办公室</w:t>
      </w:r>
      <w:r>
        <w:rPr>
          <w:rFonts w:hint="eastAsia" w:ascii="仿宋_GB2312" w:hAnsi="宋体" w:eastAsia="仿宋_GB2312" w:cs="宋体"/>
          <w:color w:val="auto"/>
          <w:kern w:val="0"/>
          <w:sz w:val="32"/>
          <w:szCs w:val="32"/>
          <w:highlight w:val="none"/>
        </w:rPr>
        <w:t>本级</w:t>
      </w:r>
      <w:r>
        <w:rPr>
          <w:rFonts w:hint="eastAsia" w:ascii="仿宋_GB2312" w:hAnsi="黑体" w:eastAsia="仿宋_GB2312" w:cs="宋体"/>
          <w:bCs/>
          <w:color w:val="auto"/>
          <w:kern w:val="0"/>
          <w:sz w:val="32"/>
          <w:szCs w:val="32"/>
          <w:highlight w:val="none"/>
        </w:rPr>
        <w:t>下设</w:t>
      </w:r>
      <w:r>
        <w:rPr>
          <w:rFonts w:hint="eastAsia" w:ascii="仿宋_GB2312" w:eastAsia="仿宋_GB2312"/>
          <w:color w:val="auto"/>
          <w:sz w:val="32"/>
          <w:szCs w:val="32"/>
          <w:highlight w:val="none"/>
          <w:lang w:val="en-US" w:eastAsia="zh-CN"/>
        </w:rPr>
        <w:t>13</w:t>
      </w:r>
      <w:r>
        <w:rPr>
          <w:rFonts w:hint="eastAsia" w:ascii="仿宋_GB2312" w:hAnsi="黑体" w:eastAsia="仿宋_GB2312" w:cs="宋体"/>
          <w:bCs/>
          <w:color w:val="auto"/>
          <w:kern w:val="0"/>
          <w:sz w:val="32"/>
          <w:szCs w:val="32"/>
          <w:highlight w:val="none"/>
        </w:rPr>
        <w:t>个处室，分别是：</w:t>
      </w:r>
      <w:r>
        <w:rPr>
          <w:rFonts w:hint="eastAsia" w:ascii="仿宋_GB2312" w:eastAsia="仿宋_GB2312"/>
          <w:color w:val="auto"/>
          <w:sz w:val="32"/>
          <w:szCs w:val="32"/>
          <w:highlight w:val="none"/>
          <w:lang w:val="en-US" w:eastAsia="zh-CN"/>
        </w:rPr>
        <w:t>综合一室、综合秘书一室、综合秘书二室、综合二室、综合三室、综合四室、信息综合室、档案监督指导室、史志一室、史志二室、市党委全面深化改革委员会办公室、市党委国家安全委员会办公室、市党委财经委员会办公室。</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rPr>
        <w:t>纳入</w:t>
      </w:r>
      <w:r>
        <w:rPr>
          <w:rFonts w:hint="eastAsia" w:ascii="仿宋_GB2312" w:eastAsia="仿宋_GB2312"/>
          <w:color w:val="auto"/>
          <w:sz w:val="32"/>
          <w:szCs w:val="32"/>
          <w:highlight w:val="none"/>
          <w:lang w:val="en-US" w:eastAsia="zh-CN"/>
        </w:rPr>
        <w:t>中共库尔勒市委员会办公室</w:t>
      </w: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rPr>
        <w:t>部门决算编制范围的</w:t>
      </w:r>
      <w:r>
        <w:rPr>
          <w:rFonts w:hint="eastAsia" w:ascii="仿宋_GB2312" w:eastAsia="仿宋_GB2312"/>
          <w:color w:val="auto"/>
          <w:spacing w:val="0"/>
          <w:sz w:val="32"/>
          <w:szCs w:val="32"/>
          <w:highlight w:val="none"/>
          <w:lang w:val="en-US" w:eastAsia="zh-CN"/>
        </w:rPr>
        <w:t>下属预算</w:t>
      </w:r>
      <w:r>
        <w:rPr>
          <w:rFonts w:hint="eastAsia" w:ascii="仿宋_GB2312" w:eastAsia="仿宋_GB2312"/>
          <w:color w:val="auto"/>
          <w:spacing w:val="0"/>
          <w:sz w:val="32"/>
          <w:szCs w:val="32"/>
          <w:highlight w:val="none"/>
        </w:rPr>
        <w:t>单位</w:t>
      </w:r>
      <w:r>
        <w:rPr>
          <w:rFonts w:hint="eastAsia" w:ascii="仿宋_GB2312" w:eastAsia="仿宋_GB2312"/>
          <w:color w:val="auto"/>
          <w:spacing w:val="0"/>
          <w:sz w:val="32"/>
          <w:szCs w:val="32"/>
          <w:highlight w:val="none"/>
          <w:lang w:val="en-US" w:eastAsia="zh-CN"/>
        </w:rPr>
        <w:t>包括</w:t>
      </w:r>
      <w:r>
        <w:rPr>
          <w:rFonts w:hint="eastAsia" w:ascii="仿宋_GB2312" w:eastAsia="仿宋_GB2312"/>
          <w:color w:val="auto"/>
          <w:spacing w:val="0"/>
          <w:sz w:val="32"/>
          <w:szCs w:val="32"/>
          <w:highlight w:val="none"/>
          <w:lang w:eastAsia="zh-CN"/>
        </w:rPr>
        <w:t>：</w:t>
      </w:r>
    </w:p>
    <w:p>
      <w:pPr>
        <w:keepNext w:val="0"/>
        <w:keepLines w:val="0"/>
        <w:pageBreakBefore w:val="0"/>
        <w:widowControl w:val="0"/>
        <w:numPr>
          <w:ilvl w:val="0"/>
          <w:numId w:val="1"/>
        </w:numPr>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中共库尔勒市委员会办公室</w:t>
      </w:r>
    </w:p>
    <w:p>
      <w:pPr>
        <w:keepNext w:val="0"/>
        <w:keepLines w:val="0"/>
        <w:pageBreakBefore w:val="0"/>
        <w:widowControl w:val="0"/>
        <w:numPr>
          <w:ilvl w:val="0"/>
          <w:numId w:val="1"/>
        </w:numPr>
        <w:kinsoku/>
        <w:wordWrap/>
        <w:overflowPunct/>
        <w:topLinePunct w:val="0"/>
        <w:bidi w:val="0"/>
        <w:adjustRightInd/>
        <w:snapToGrid/>
        <w:spacing w:line="240" w:lineRule="auto"/>
        <w:ind w:firstLine="640" w:firstLineChars="200"/>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z w:val="32"/>
          <w:szCs w:val="32"/>
          <w:highlight w:val="none"/>
          <w:lang w:val="en-US" w:eastAsia="zh-CN"/>
        </w:rPr>
        <w:t>中共库尔勒市委员会机要保密局</w:t>
      </w:r>
    </w:p>
    <w:p>
      <w:pPr>
        <w:keepNext w:val="0"/>
        <w:keepLines w:val="0"/>
        <w:pageBreakBefore w:val="0"/>
        <w:widowControl w:val="0"/>
        <w:numPr>
          <w:ilvl w:val="0"/>
          <w:numId w:val="1"/>
        </w:numPr>
        <w:kinsoku/>
        <w:wordWrap/>
        <w:overflowPunct/>
        <w:topLinePunct w:val="0"/>
        <w:bidi w:val="0"/>
        <w:adjustRightInd/>
        <w:snapToGrid/>
        <w:spacing w:line="240" w:lineRule="auto"/>
        <w:ind w:firstLine="640" w:firstLineChars="200"/>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z w:val="32"/>
          <w:szCs w:val="32"/>
          <w:highlight w:val="none"/>
          <w:lang w:val="en-US" w:eastAsia="zh-CN"/>
        </w:rPr>
        <w:t>库尔勒市档案馆</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6" w:name="_Toc3092"/>
      <w:bookmarkStart w:id="7" w:name="_Toc29374"/>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25314"/>
      <w:bookmarkStart w:id="9" w:name="_Toc12566"/>
      <w:r>
        <w:rPr>
          <w:rFonts w:hint="eastAsia" w:ascii="黑体" w:hAnsi="黑体" w:eastAsia="黑体" w:cs="宋体"/>
          <w:bCs/>
          <w:color w:val="auto"/>
          <w:kern w:val="0"/>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1,472.06万元，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1,472.06万元，使用非财政拨款结余0.00万元，年初结转和结余0.00万元。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1,472.06万元，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1,472.06万元，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增加</w:t>
      </w:r>
      <w:r>
        <w:rPr>
          <w:rFonts w:hint="eastAsia" w:ascii="仿宋_GB2312" w:eastAsia="仿宋_GB2312"/>
          <w:color w:val="auto"/>
          <w:spacing w:val="0"/>
          <w:sz w:val="32"/>
          <w:szCs w:val="32"/>
          <w:highlight w:val="none"/>
          <w:lang w:val="en-US" w:eastAsia="zh-CN"/>
        </w:rPr>
        <w:t>388.02</w:t>
      </w:r>
      <w:r>
        <w:rPr>
          <w:rFonts w:hint="eastAsia" w:ascii="仿宋_GB2312" w:eastAsia="仿宋_GB2312"/>
          <w:color w:val="auto"/>
          <w:spacing w:val="0"/>
          <w:sz w:val="32"/>
          <w:szCs w:val="32"/>
          <w:highlight w:val="none"/>
          <w:lang w:val="zh-CN" w:eastAsia="zh-CN"/>
        </w:rPr>
        <w:t>万元</w:t>
      </w:r>
      <w:r>
        <w:rPr>
          <w:rFonts w:hint="eastAsia" w:ascii="仿宋_GB2312" w:eastAsia="仿宋_GB2312"/>
          <w:color w:val="auto"/>
          <w:spacing w:val="0"/>
          <w:sz w:val="32"/>
          <w:szCs w:val="32"/>
          <w:highlight w:val="none"/>
          <w:lang w:eastAsia="zh-CN"/>
        </w:rPr>
        <w:t>，增长</w:t>
      </w:r>
      <w:r>
        <w:rPr>
          <w:rFonts w:hint="eastAsia" w:ascii="仿宋_GB2312" w:eastAsia="仿宋_GB2312"/>
          <w:color w:val="auto"/>
          <w:spacing w:val="0"/>
          <w:sz w:val="32"/>
          <w:szCs w:val="32"/>
          <w:highlight w:val="none"/>
          <w:lang w:val="en-US" w:eastAsia="zh-CN"/>
        </w:rPr>
        <w:t>35.79</w:t>
      </w:r>
      <w:r>
        <w:rPr>
          <w:rFonts w:hint="eastAsia" w:ascii="仿宋_GB2312" w:eastAsia="仿宋_GB2312"/>
          <w:color w:val="auto"/>
          <w:spacing w:val="0"/>
          <w:sz w:val="32"/>
          <w:szCs w:val="32"/>
          <w:highlight w:val="none"/>
          <w:lang w:eastAsia="zh-CN"/>
        </w:rPr>
        <w:t>%，主要原因是：职工人数增加、项目支出增加、</w:t>
      </w:r>
      <w:r>
        <w:rPr>
          <w:rFonts w:hint="eastAsia" w:ascii="仿宋_GB2312" w:hAnsi="仿宋" w:eastAsia="仿宋_GB2312"/>
          <w:sz w:val="32"/>
          <w:szCs w:val="32"/>
          <w:lang w:eastAsia="zh-CN"/>
        </w:rPr>
        <w:t>工资微调、各项</w:t>
      </w:r>
      <w:r>
        <w:rPr>
          <w:rFonts w:hint="eastAsia" w:ascii="仿宋_GB2312" w:hAnsi="仿宋" w:eastAsia="仿宋_GB2312"/>
          <w:color w:val="auto"/>
          <w:sz w:val="32"/>
          <w:szCs w:val="32"/>
          <w:lang w:eastAsia="zh-CN"/>
        </w:rPr>
        <w:t>缴费基数增加，支出增加。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979"/>
      <w:bookmarkStart w:id="11" w:name="_Toc12142"/>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1,472.06</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1,472.06</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100.00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27961"/>
      <w:bookmarkStart w:id="13" w:name="_Toc13201"/>
      <w:r>
        <w:rPr>
          <w:rFonts w:hint="eastAsia" w:ascii="黑体" w:hAnsi="黑体" w:eastAsia="黑体" w:cs="宋体"/>
          <w:bCs/>
          <w:color w:val="auto"/>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仿宋_GB2312"/>
          <w:color w:val="auto"/>
          <w:sz w:val="30"/>
          <w:szCs w:val="30"/>
          <w:highlight w:val="none"/>
          <w:lang w:val="zh-CN" w:eastAsia="zh-CN"/>
        </w:rPr>
      </w:pPr>
      <w:r>
        <w:rPr>
          <w:rFonts w:hint="eastAsia" w:ascii="Times New Roman" w:hAnsi="Times New Roman" w:eastAsia="仿宋_GB2312" w:cs="仿宋_GB2312"/>
          <w:color w:val="auto"/>
          <w:sz w:val="32"/>
          <w:szCs w:val="32"/>
          <w:highlight w:val="none"/>
          <w:lang w:val="zh-CN" w:eastAsia="zh-CN"/>
        </w:rPr>
        <w:t>本年支出1,472.06万元，其中：基本支出1,175.02万元，占79.82%；项目支出297.04万元，占20.18%；上缴上级支出0.00万元，占0.00%；经营支出0.00万元，占0.00%；对附属单位补助支出0.00万元，占0.00%。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26564"/>
      <w:bookmarkStart w:id="15" w:name="_Toc4393"/>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1,472.06</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1,472.06</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1,472.06</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1,472.06</w:t>
      </w:r>
      <w:r>
        <w:rPr>
          <w:rFonts w:hint="eastAsia" w:ascii="仿宋_GB2312" w:eastAsia="仿宋_GB2312"/>
          <w:color w:val="auto"/>
          <w:spacing w:val="0"/>
          <w:sz w:val="32"/>
          <w:szCs w:val="32"/>
          <w:highlight w:val="none"/>
          <w:lang w:eastAsia="zh-CN"/>
        </w:rPr>
        <w:t>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增加1,472.06万元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增长100.00%,</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2023年是第一次汇总部门决算公开，</w:t>
      </w:r>
      <w:r>
        <w:rPr>
          <w:rFonts w:hint="eastAsia" w:ascii="仿宋_GB2312" w:eastAsia="仿宋_GB2312"/>
          <w:color w:val="auto"/>
          <w:spacing w:val="0"/>
          <w:sz w:val="32"/>
          <w:szCs w:val="32"/>
          <w:highlight w:val="none"/>
          <w:lang w:eastAsia="zh-CN"/>
        </w:rPr>
        <w:t>没有以前年度汇总财政拨款收入支出总体数值，因此增长</w:t>
      </w:r>
      <w:r>
        <w:rPr>
          <w:rFonts w:hint="eastAsia" w:ascii="仿宋_GB2312" w:eastAsia="仿宋_GB2312"/>
          <w:color w:val="auto"/>
          <w:spacing w:val="0"/>
          <w:sz w:val="32"/>
          <w:szCs w:val="32"/>
          <w:highlight w:val="none"/>
          <w:lang w:val="en-US" w:eastAsia="zh-CN"/>
        </w:rPr>
        <w:t>100%</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1,386.11</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1,472.06</w:t>
      </w:r>
      <w:r>
        <w:rPr>
          <w:rFonts w:hint="eastAsia" w:ascii="仿宋_GB2312" w:eastAsia="仿宋_GB2312"/>
          <w:color w:val="auto"/>
          <w:spacing w:val="0"/>
          <w:sz w:val="32"/>
          <w:szCs w:val="32"/>
          <w:highlight w:val="none"/>
          <w:lang w:eastAsia="zh-CN"/>
        </w:rPr>
        <w:t>万元，预决算差异率6.20%，主要原因是：人员经费增加及购买三辆小汽车。</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13833"/>
      <w:bookmarkStart w:id="17" w:name="_Toc20360"/>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2023年度一般公共预算财政拨款支出1,472.06万元，占本年支出合计的</w:t>
      </w:r>
      <w:r>
        <w:rPr>
          <w:rFonts w:hint="eastAsia" w:ascii="仿宋_GB2312" w:eastAsia="仿宋_GB2312"/>
          <w:color w:val="auto"/>
          <w:spacing w:val="0"/>
          <w:sz w:val="32"/>
          <w:szCs w:val="32"/>
          <w:highlight w:val="none"/>
          <w:lang w:val="zh-CN" w:eastAsia="zh-CN"/>
        </w:rPr>
        <w:t>100.00%</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增加1,472.06万元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增长100.00%,</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2023年是第一次汇总部门决算公开，</w:t>
      </w:r>
      <w:r>
        <w:rPr>
          <w:rFonts w:hint="eastAsia" w:ascii="仿宋_GB2312" w:eastAsia="仿宋_GB2312"/>
          <w:color w:val="auto"/>
          <w:spacing w:val="0"/>
          <w:sz w:val="32"/>
          <w:szCs w:val="32"/>
          <w:highlight w:val="none"/>
          <w:lang w:eastAsia="zh-CN"/>
        </w:rPr>
        <w:t>没有以前年度汇总一般公共预算财政拨款支出数值，因此增长</w:t>
      </w:r>
      <w:r>
        <w:rPr>
          <w:rFonts w:hint="eastAsia" w:ascii="仿宋_GB2312" w:eastAsia="仿宋_GB2312"/>
          <w:color w:val="auto"/>
          <w:spacing w:val="0"/>
          <w:sz w:val="32"/>
          <w:szCs w:val="32"/>
          <w:highlight w:val="none"/>
          <w:lang w:val="en-US" w:eastAsia="zh-CN"/>
        </w:rPr>
        <w:t>100%</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1,386.11</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1,472.06</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6.20%</w:t>
      </w:r>
      <w:r>
        <w:rPr>
          <w:rFonts w:hint="eastAsia" w:ascii="仿宋_GB2312" w:eastAsia="仿宋_GB2312"/>
          <w:color w:val="auto"/>
          <w:spacing w:val="0"/>
          <w:sz w:val="32"/>
          <w:szCs w:val="32"/>
          <w:highlight w:val="none"/>
          <w:lang w:eastAsia="zh-CN"/>
        </w:rPr>
        <w:t>，主要原因是：人员经费增加及购买三辆小汽车。</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default" w:ascii="仿宋_GB2312" w:hAnsi="Times New Roman" w:eastAsia="仿宋_GB2312" w:cs="Times New Roman"/>
          <w:color w:val="auto"/>
          <w:spacing w:val="0"/>
          <w:kern w:val="2"/>
          <w:sz w:val="32"/>
          <w:szCs w:val="32"/>
          <w:lang w:val="zh-CN" w:eastAsia="zh-CN" w:bidi="ar-SA"/>
        </w:rPr>
        <w:t>1.</w:t>
      </w:r>
      <w:r>
        <w:rPr>
          <w:rFonts w:hint="default" w:ascii="仿宋_GB2312" w:hAnsi="Times New Roman" w:eastAsia="仿宋_GB2312" w:cs="Times New Roman"/>
          <w:color w:val="auto"/>
          <w:spacing w:val="0"/>
          <w:kern w:val="2"/>
          <w:sz w:val="32"/>
          <w:szCs w:val="32"/>
          <w:highlight w:val="none"/>
          <w:lang w:val="zh-CN" w:eastAsia="zh-CN" w:bidi="ar-SA"/>
        </w:rPr>
        <w:t>一般公共服务支出（类）</w:t>
      </w:r>
      <w:r>
        <w:rPr>
          <w:rFonts w:hint="eastAsia" w:ascii="仿宋_GB2312" w:hAnsi="Times New Roman" w:eastAsia="仿宋_GB2312" w:cs="Times New Roman"/>
          <w:color w:val="auto"/>
          <w:spacing w:val="0"/>
          <w:kern w:val="2"/>
          <w:sz w:val="32"/>
          <w:szCs w:val="32"/>
          <w:highlight w:val="none"/>
          <w:lang w:val="zh-CN" w:eastAsia="zh-CN" w:bidi="ar-SA"/>
        </w:rPr>
        <w:t>1,133.79</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77.02</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2</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教育支出（类）</w:t>
      </w:r>
      <w:r>
        <w:rPr>
          <w:rFonts w:hint="eastAsia" w:ascii="仿宋_GB2312" w:hAnsi="Times New Roman" w:eastAsia="仿宋_GB2312" w:cs="Times New Roman"/>
          <w:color w:val="auto"/>
          <w:spacing w:val="0"/>
          <w:kern w:val="2"/>
          <w:sz w:val="32"/>
          <w:szCs w:val="32"/>
          <w:highlight w:val="none"/>
          <w:lang w:val="zh-CN" w:eastAsia="zh-CN" w:bidi="ar-SA"/>
        </w:rPr>
        <w:t>3.65</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0.25</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3</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186.48</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12.67</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4</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66.43</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4.51</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5</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81.72</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5.55</w:t>
      </w:r>
      <w:r>
        <w:rPr>
          <w:rFonts w:hint="default" w:ascii="仿宋_GB2312" w:hAnsi="Times New Roman" w:eastAsia="仿宋_GB2312" w:cs="Times New Roman"/>
          <w:color w:val="auto"/>
          <w:spacing w:val="0"/>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1</w:t>
      </w:r>
      <w:r>
        <w:rPr>
          <w:rFonts w:hint="eastAsia" w:ascii="Times New Roman" w:hAnsi="Times New Roman" w:eastAsia="仿宋_GB2312" w:cs="Times New Roman"/>
          <w:color w:val="auto"/>
          <w:kern w:val="2"/>
          <w:sz w:val="32"/>
          <w:szCs w:val="32"/>
          <w:highlight w:val="none"/>
          <w:lang w:val="en-US" w:eastAsia="zh-CN" w:bidi="ar-SA"/>
        </w:rPr>
        <w:t>.一般公共服务支出（类）档案事务（款）行政运行（项）:支出决算数为150.77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1.00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0.66%，主要原因是：</w:t>
      </w:r>
      <w:r>
        <w:rPr>
          <w:rFonts w:hint="eastAsia" w:eastAsia="仿宋_GB2312" w:cs="Times New Roman"/>
          <w:color w:val="auto"/>
          <w:kern w:val="2"/>
          <w:sz w:val="32"/>
          <w:szCs w:val="32"/>
          <w:highlight w:val="none"/>
          <w:lang w:val="zh-CN" w:eastAsia="zh-CN" w:bidi="ar-SA"/>
        </w:rPr>
        <w:t>在职人数减少</w:t>
      </w:r>
      <w:r>
        <w:rPr>
          <w:rFonts w:hint="eastAsia" w:eastAsia="仿宋_GB2312" w:cs="Times New Roman"/>
          <w:color w:val="auto"/>
          <w:kern w:val="2"/>
          <w:sz w:val="32"/>
          <w:szCs w:val="32"/>
          <w:highlight w:val="none"/>
          <w:lang w:val="en-US" w:eastAsia="zh-CN" w:bidi="ar-SA"/>
        </w:rPr>
        <w:t>1人，支出相应减少</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2</w:t>
      </w:r>
      <w:r>
        <w:rPr>
          <w:rFonts w:hint="eastAsia" w:ascii="Times New Roman" w:hAnsi="Times New Roman" w:eastAsia="仿宋_GB2312" w:cs="Times New Roman"/>
          <w:color w:val="auto"/>
          <w:kern w:val="2"/>
          <w:sz w:val="32"/>
          <w:szCs w:val="32"/>
          <w:highlight w:val="none"/>
          <w:lang w:val="en-US" w:eastAsia="zh-CN" w:bidi="ar-SA"/>
        </w:rPr>
        <w:t>.一般公共服务支出（类）党委办公厅（室）及相关机构事务（款）行政运行（项）:支出决算数为685.97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增加100.39万元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增长17.14</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ascii="仿宋_GB2312" w:eastAsia="仿宋_GB2312"/>
          <w:color w:val="auto"/>
          <w:spacing w:val="0"/>
          <w:sz w:val="32"/>
          <w:szCs w:val="32"/>
          <w:highlight w:val="none"/>
          <w:lang w:eastAsia="zh-CN"/>
        </w:rPr>
        <w:t>职工人数增加、</w:t>
      </w:r>
      <w:r>
        <w:rPr>
          <w:rFonts w:hint="eastAsia" w:ascii="仿宋_GB2312" w:hAnsi="仿宋" w:eastAsia="仿宋_GB2312"/>
          <w:sz w:val="32"/>
          <w:szCs w:val="32"/>
          <w:lang w:eastAsia="zh-CN"/>
        </w:rPr>
        <w:t>工资微调、各项</w:t>
      </w:r>
      <w:r>
        <w:rPr>
          <w:rFonts w:hint="eastAsia" w:ascii="仿宋_GB2312" w:hAnsi="仿宋" w:eastAsia="仿宋_GB2312"/>
          <w:color w:val="auto"/>
          <w:sz w:val="32"/>
          <w:szCs w:val="32"/>
          <w:lang w:eastAsia="zh-CN"/>
        </w:rPr>
        <w:t>缴费基数增加，支出增加</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3</w:t>
      </w:r>
      <w:r>
        <w:rPr>
          <w:rFonts w:hint="eastAsia" w:ascii="Times New Roman" w:hAnsi="Times New Roman" w:eastAsia="仿宋_GB2312" w:cs="Times New Roman"/>
          <w:color w:val="auto"/>
          <w:kern w:val="2"/>
          <w:sz w:val="32"/>
          <w:szCs w:val="32"/>
          <w:highlight w:val="none"/>
          <w:lang w:val="en-US" w:eastAsia="zh-CN" w:bidi="ar-SA"/>
        </w:rPr>
        <w:t>.一般公共服务支出（类）党委办公厅（室）及相关机构事务（款）其他党委办公厅（室）及相关机构事务支出（项）:支出决算数为289.92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增加181.67万元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增长167.82</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eastAsia="仿宋_GB2312" w:cs="Times New Roman"/>
          <w:color w:val="auto"/>
          <w:kern w:val="2"/>
          <w:sz w:val="32"/>
          <w:szCs w:val="32"/>
          <w:highlight w:val="none"/>
          <w:lang w:val="en-US" w:eastAsia="zh-CN" w:bidi="ar-SA"/>
        </w:rPr>
        <w:t>机要局</w:t>
      </w:r>
      <w:r>
        <w:rPr>
          <w:rFonts w:hint="eastAsia" w:eastAsia="仿宋_GB2312" w:cs="Times New Roman"/>
          <w:color w:val="auto"/>
          <w:kern w:val="2"/>
          <w:sz w:val="32"/>
          <w:szCs w:val="32"/>
          <w:highlight w:val="none"/>
          <w:lang w:val="zh-CN" w:eastAsia="zh-CN" w:bidi="ar-SA"/>
        </w:rPr>
        <w:t>更新设备、市委办</w:t>
      </w:r>
      <w:r>
        <w:rPr>
          <w:rFonts w:hint="eastAsia" w:ascii="仿宋_GB2312" w:eastAsia="仿宋_GB2312"/>
          <w:color w:val="auto"/>
          <w:spacing w:val="0"/>
          <w:sz w:val="32"/>
          <w:szCs w:val="32"/>
          <w:highlight w:val="none"/>
          <w:lang w:val="en-US" w:eastAsia="zh-CN"/>
        </w:rPr>
        <w:t>购买</w:t>
      </w:r>
      <w:r>
        <w:rPr>
          <w:rFonts w:hint="eastAsia" w:ascii="仿宋_GB2312" w:hAnsi="仿宋" w:eastAsia="仿宋_GB2312"/>
          <w:sz w:val="32"/>
          <w:szCs w:val="32"/>
          <w:lang w:val="en-US" w:eastAsia="zh-CN"/>
        </w:rPr>
        <w:t>25台电脑及线路租赁费</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4</w:t>
      </w:r>
      <w:r>
        <w:rPr>
          <w:rFonts w:hint="eastAsia" w:ascii="Times New Roman" w:hAnsi="Times New Roman" w:eastAsia="仿宋_GB2312" w:cs="Times New Roman"/>
          <w:color w:val="auto"/>
          <w:kern w:val="2"/>
          <w:sz w:val="32"/>
          <w:szCs w:val="32"/>
          <w:highlight w:val="none"/>
          <w:lang w:val="en-US" w:eastAsia="zh-CN" w:bidi="ar-SA"/>
        </w:rPr>
        <w:t>.一般公共服务支出（类）档案事务（款）其他档案事务支出（项）:支出决算数为7.13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7.13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100%，主要原因是：</w:t>
      </w:r>
      <w:r>
        <w:rPr>
          <w:rFonts w:hint="eastAsia" w:ascii="仿宋_GB2312" w:eastAsia="仿宋_GB2312"/>
          <w:color w:val="auto"/>
          <w:spacing w:val="0"/>
          <w:sz w:val="32"/>
          <w:szCs w:val="32"/>
          <w:highlight w:val="none"/>
          <w:lang w:val="en-US" w:eastAsia="zh-CN"/>
        </w:rPr>
        <w:t>2022</w:t>
      </w:r>
      <w:r>
        <w:rPr>
          <w:rFonts w:hint="eastAsia" w:ascii="仿宋_GB2312" w:eastAsia="仿宋_GB2312"/>
          <w:color w:val="auto"/>
          <w:spacing w:val="0"/>
          <w:sz w:val="32"/>
          <w:szCs w:val="32"/>
          <w:highlight w:val="none"/>
          <w:lang w:eastAsia="zh-CN"/>
        </w:rPr>
        <w:t>年度该类、款、项支出为</w:t>
      </w:r>
      <w:r>
        <w:rPr>
          <w:rFonts w:hint="eastAsia" w:ascii="仿宋_GB2312" w:eastAsia="仿宋_GB2312"/>
          <w:color w:val="auto"/>
          <w:spacing w:val="0"/>
          <w:sz w:val="32"/>
          <w:szCs w:val="32"/>
          <w:highlight w:val="none"/>
          <w:lang w:val="en-US" w:eastAsia="zh-CN"/>
        </w:rPr>
        <w:t>0元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年度该类、款、项支出为</w:t>
      </w:r>
      <w:r>
        <w:rPr>
          <w:rFonts w:hint="eastAsia" w:ascii="仿宋_GB2312" w:eastAsia="仿宋_GB2312"/>
          <w:color w:val="auto"/>
          <w:spacing w:val="0"/>
          <w:sz w:val="32"/>
          <w:szCs w:val="32"/>
          <w:highlight w:val="none"/>
          <w:lang w:val="en-US" w:eastAsia="zh-CN"/>
        </w:rPr>
        <w:t>7.13万元，</w:t>
      </w:r>
      <w:r>
        <w:rPr>
          <w:rFonts w:hint="eastAsia" w:ascii="仿宋_GB2312" w:eastAsia="仿宋_GB2312"/>
          <w:color w:val="auto"/>
          <w:spacing w:val="0"/>
          <w:sz w:val="32"/>
          <w:szCs w:val="32"/>
          <w:highlight w:val="none"/>
          <w:lang w:eastAsia="zh-CN"/>
        </w:rPr>
        <w:t>因此增长</w:t>
      </w:r>
      <w:r>
        <w:rPr>
          <w:rFonts w:hint="eastAsia" w:ascii="仿宋_GB2312" w:eastAsia="仿宋_GB2312"/>
          <w:color w:val="auto"/>
          <w:spacing w:val="0"/>
          <w:sz w:val="32"/>
          <w:szCs w:val="32"/>
          <w:highlight w:val="none"/>
          <w:lang w:val="en-US" w:eastAsia="zh-CN"/>
        </w:rPr>
        <w:t>100%</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5</w:t>
      </w:r>
      <w:r>
        <w:rPr>
          <w:rFonts w:hint="eastAsia" w:ascii="Times New Roman" w:hAnsi="Times New Roman" w:eastAsia="仿宋_GB2312" w:cs="Times New Roman"/>
          <w:color w:val="auto"/>
          <w:kern w:val="2"/>
          <w:sz w:val="32"/>
          <w:szCs w:val="32"/>
          <w:highlight w:val="none"/>
          <w:lang w:val="en-US" w:eastAsia="zh-CN" w:bidi="ar-SA"/>
        </w:rPr>
        <w:t>.教育支出（类）进修及培训（款）培训支出（项）:支出决算数为3.65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增加3.35万元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增长1116.67</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ascii="仿宋_GB2312" w:eastAsia="仿宋_GB2312"/>
          <w:color w:val="auto"/>
          <w:spacing w:val="0"/>
          <w:sz w:val="32"/>
          <w:szCs w:val="32"/>
          <w:highlight w:val="none"/>
          <w:lang w:val="en-US" w:eastAsia="zh-CN"/>
        </w:rPr>
        <w:t>2022</w:t>
      </w:r>
      <w:r>
        <w:rPr>
          <w:rFonts w:hint="eastAsia" w:ascii="仿宋_GB2312" w:eastAsia="仿宋_GB2312"/>
          <w:color w:val="auto"/>
          <w:spacing w:val="0"/>
          <w:sz w:val="32"/>
          <w:szCs w:val="32"/>
          <w:highlight w:val="none"/>
          <w:lang w:eastAsia="zh-CN"/>
        </w:rPr>
        <w:t>年度机要局、档案馆没有支出，</w:t>
      </w:r>
      <w:r>
        <w:rPr>
          <w:rFonts w:hint="eastAsia" w:ascii="仿宋_GB2312" w:eastAsia="仿宋_GB2312"/>
          <w:color w:val="auto"/>
          <w:spacing w:val="0"/>
          <w:sz w:val="32"/>
          <w:szCs w:val="32"/>
          <w:highlight w:val="none"/>
          <w:lang w:val="en-US" w:eastAsia="zh-CN"/>
        </w:rPr>
        <w:t>2023年度三个单位都有培训支出，培训的人次增加</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6</w:t>
      </w:r>
      <w:r>
        <w:rPr>
          <w:rFonts w:hint="eastAsia" w:ascii="Times New Roman" w:hAnsi="Times New Roman" w:eastAsia="仿宋_GB2312" w:cs="Times New Roman"/>
          <w:color w:val="auto"/>
          <w:kern w:val="2"/>
          <w:sz w:val="32"/>
          <w:szCs w:val="32"/>
          <w:highlight w:val="none"/>
          <w:lang w:val="en-US" w:eastAsia="zh-CN" w:bidi="ar-SA"/>
        </w:rPr>
        <w:t>.社会保障和就业支出（类）行政事业单位养老支出（款）行政单位离退休（项）:支出决算数为72.49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增加59.12万元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增长442.18</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ascii="仿宋_GB2312" w:eastAsia="仿宋_GB2312"/>
          <w:color w:val="auto"/>
          <w:spacing w:val="0"/>
          <w:sz w:val="32"/>
          <w:szCs w:val="32"/>
          <w:highlight w:val="none"/>
          <w:lang w:eastAsia="zh-CN"/>
        </w:rPr>
        <w:t>本年度增加去世</w:t>
      </w:r>
      <w:r>
        <w:rPr>
          <w:rFonts w:hint="eastAsia" w:ascii="仿宋_GB2312" w:eastAsia="仿宋_GB2312"/>
          <w:color w:val="auto"/>
          <w:spacing w:val="0"/>
          <w:sz w:val="32"/>
          <w:szCs w:val="32"/>
          <w:highlight w:val="none"/>
          <w:lang w:val="en-US" w:eastAsia="zh-CN"/>
        </w:rPr>
        <w:t>2人，</w:t>
      </w:r>
      <w:r>
        <w:rPr>
          <w:rFonts w:hint="eastAsia" w:ascii="仿宋_GB2312" w:eastAsia="仿宋_GB2312"/>
          <w:color w:val="auto"/>
          <w:spacing w:val="0"/>
          <w:sz w:val="32"/>
          <w:szCs w:val="32"/>
          <w:highlight w:val="none"/>
          <w:lang w:eastAsia="zh-CN"/>
        </w:rPr>
        <w:t>抚恤金增加</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7</w:t>
      </w:r>
      <w:r>
        <w:rPr>
          <w:rFonts w:hint="eastAsia" w:ascii="Times New Roman" w:hAnsi="Times New Roman" w:eastAsia="仿宋_GB2312" w:cs="Times New Roman"/>
          <w:color w:val="auto"/>
          <w:kern w:val="2"/>
          <w:sz w:val="32"/>
          <w:szCs w:val="32"/>
          <w:highlight w:val="none"/>
          <w:lang w:val="en-US" w:eastAsia="zh-CN" w:bidi="ar-SA"/>
        </w:rPr>
        <w:t>.社会保障和就业支出（类）就业补助（款）公益性岗位补贴（项）:支出决算数为2.69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2.69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100%，主要原因是：</w:t>
      </w:r>
      <w:r>
        <w:rPr>
          <w:rFonts w:hint="eastAsia" w:ascii="仿宋_GB2312" w:eastAsia="仿宋_GB2312"/>
          <w:color w:val="auto"/>
          <w:spacing w:val="0"/>
          <w:sz w:val="32"/>
          <w:szCs w:val="32"/>
          <w:highlight w:val="none"/>
          <w:lang w:val="en-US" w:eastAsia="zh-CN"/>
        </w:rPr>
        <w:t>2022</w:t>
      </w:r>
      <w:r>
        <w:rPr>
          <w:rFonts w:hint="eastAsia" w:ascii="仿宋_GB2312" w:eastAsia="仿宋_GB2312"/>
          <w:color w:val="auto"/>
          <w:spacing w:val="0"/>
          <w:sz w:val="32"/>
          <w:szCs w:val="32"/>
          <w:highlight w:val="none"/>
          <w:lang w:eastAsia="zh-CN"/>
        </w:rPr>
        <w:t>年度该功能科目无支出，因此增长</w:t>
      </w:r>
      <w:r>
        <w:rPr>
          <w:rFonts w:hint="eastAsia" w:ascii="仿宋_GB2312" w:eastAsia="仿宋_GB2312"/>
          <w:color w:val="auto"/>
          <w:spacing w:val="0"/>
          <w:sz w:val="32"/>
          <w:szCs w:val="32"/>
          <w:highlight w:val="none"/>
          <w:lang w:val="en-US" w:eastAsia="zh-CN"/>
        </w:rPr>
        <w:t>100%</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8</w:t>
      </w:r>
      <w:r>
        <w:rPr>
          <w:rFonts w:hint="eastAsia" w:ascii="Times New Roman" w:hAnsi="Times New Roman" w:eastAsia="仿宋_GB2312" w:cs="Times New Roman"/>
          <w:color w:val="auto"/>
          <w:kern w:val="2"/>
          <w:sz w:val="32"/>
          <w:szCs w:val="32"/>
          <w:highlight w:val="none"/>
          <w:lang w:val="en-US" w:eastAsia="zh-CN" w:bidi="ar-SA"/>
        </w:rPr>
        <w:t>.社会保障和就业支出（类）行政事业单位养老支出（款）机关事业单位职业年金缴费支出（项）:支出决算数为8.94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增加3.37万元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增长60.50</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ascii="仿宋_GB2312" w:eastAsia="仿宋_GB2312"/>
          <w:color w:val="auto"/>
          <w:spacing w:val="0"/>
          <w:sz w:val="32"/>
          <w:szCs w:val="32"/>
          <w:highlight w:val="none"/>
          <w:lang w:val="en-US" w:eastAsia="zh-CN"/>
        </w:rPr>
        <w:t>2023年度支付退休职工职业年金增加1人</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9</w:t>
      </w:r>
      <w:r>
        <w:rPr>
          <w:rFonts w:hint="eastAsia" w:ascii="Times New Roman" w:hAnsi="Times New Roman" w:eastAsia="仿宋_GB2312" w:cs="Times New Roman"/>
          <w:color w:val="auto"/>
          <w:kern w:val="2"/>
          <w:sz w:val="32"/>
          <w:szCs w:val="32"/>
          <w:highlight w:val="none"/>
          <w:lang w:val="en-US" w:eastAsia="zh-CN" w:bidi="ar-SA"/>
        </w:rPr>
        <w:t>.社会保障和就业支出（类）行政事业单位养老支出（款）机关事业单位基本养老保险缴费支出（项）:支出决算数为102.35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增加18.17万元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增长21.58</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ascii="仿宋_GB2312" w:eastAsia="仿宋_GB2312"/>
          <w:color w:val="auto"/>
          <w:spacing w:val="0"/>
          <w:sz w:val="32"/>
          <w:szCs w:val="32"/>
          <w:highlight w:val="none"/>
          <w:lang w:eastAsia="zh-CN"/>
        </w:rPr>
        <w:t>职工人数增加、</w:t>
      </w:r>
      <w:r>
        <w:rPr>
          <w:rFonts w:hint="eastAsia" w:ascii="仿宋_GB2312" w:hAnsi="仿宋" w:eastAsia="仿宋_GB2312"/>
          <w:sz w:val="32"/>
          <w:szCs w:val="32"/>
          <w:lang w:eastAsia="zh-CN"/>
        </w:rPr>
        <w:t>工资微调、各项</w:t>
      </w:r>
      <w:r>
        <w:rPr>
          <w:rFonts w:hint="eastAsia" w:ascii="仿宋_GB2312" w:hAnsi="仿宋" w:eastAsia="仿宋_GB2312"/>
          <w:color w:val="auto"/>
          <w:sz w:val="32"/>
          <w:szCs w:val="32"/>
          <w:lang w:eastAsia="zh-CN"/>
        </w:rPr>
        <w:t>缴费基数增加，支出增加</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w:t>
      </w:r>
      <w:r>
        <w:rPr>
          <w:rFonts w:hint="eastAsia" w:eastAsia="仿宋_GB2312" w:cs="Times New Roman"/>
          <w:color w:val="auto"/>
          <w:kern w:val="2"/>
          <w:sz w:val="32"/>
          <w:szCs w:val="32"/>
          <w:highlight w:val="none"/>
          <w:lang w:val="en-US" w:eastAsia="zh-CN" w:bidi="ar-SA"/>
        </w:rPr>
        <w:t>0</w:t>
      </w:r>
      <w:r>
        <w:rPr>
          <w:rFonts w:hint="eastAsia" w:ascii="Times New Roman" w:hAnsi="Times New Roman" w:eastAsia="仿宋_GB2312" w:cs="Times New Roman"/>
          <w:color w:val="auto"/>
          <w:kern w:val="2"/>
          <w:sz w:val="32"/>
          <w:szCs w:val="32"/>
          <w:highlight w:val="none"/>
          <w:lang w:val="en-US" w:eastAsia="zh-CN" w:bidi="ar-SA"/>
        </w:rPr>
        <w:t>.卫生健康支出（类）行政事业单位医疗（款）行政单位医疗（项）:支出决算数为55.50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增加7.58万元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增长15.82</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ascii="仿宋_GB2312" w:eastAsia="仿宋_GB2312"/>
          <w:color w:val="auto"/>
          <w:spacing w:val="0"/>
          <w:sz w:val="32"/>
          <w:szCs w:val="32"/>
          <w:highlight w:val="none"/>
          <w:lang w:eastAsia="zh-CN"/>
        </w:rPr>
        <w:t>职工人数增加、</w:t>
      </w:r>
      <w:r>
        <w:rPr>
          <w:rFonts w:hint="eastAsia" w:ascii="仿宋_GB2312" w:hAnsi="仿宋" w:eastAsia="仿宋_GB2312"/>
          <w:sz w:val="32"/>
          <w:szCs w:val="32"/>
          <w:lang w:eastAsia="zh-CN"/>
        </w:rPr>
        <w:t>工资微调、各项</w:t>
      </w:r>
      <w:r>
        <w:rPr>
          <w:rFonts w:hint="eastAsia" w:ascii="仿宋_GB2312" w:hAnsi="仿宋" w:eastAsia="仿宋_GB2312"/>
          <w:color w:val="auto"/>
          <w:sz w:val="32"/>
          <w:szCs w:val="32"/>
          <w:lang w:eastAsia="zh-CN"/>
        </w:rPr>
        <w:t>缴费基数增加，支出增加</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11</w:t>
      </w:r>
      <w:r>
        <w:rPr>
          <w:rFonts w:hint="eastAsia" w:ascii="Times New Roman" w:hAnsi="Times New Roman" w:eastAsia="仿宋_GB2312" w:cs="Times New Roman"/>
          <w:color w:val="auto"/>
          <w:kern w:val="2"/>
          <w:sz w:val="32"/>
          <w:szCs w:val="32"/>
          <w:highlight w:val="none"/>
          <w:lang w:val="en-US" w:eastAsia="zh-CN" w:bidi="ar-SA"/>
        </w:rPr>
        <w:t>.卫生健康支出（类）行政事业单位医疗（款）公务员医疗补助（项）:支出决算数为10.93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减少4.9万元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下降30.95</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ascii="仿宋_GB2312" w:hAnsi="仿宋" w:eastAsia="仿宋_GB2312"/>
          <w:sz w:val="32"/>
          <w:szCs w:val="32"/>
          <w:lang w:val="en-US" w:eastAsia="zh-CN"/>
        </w:rPr>
        <w:t>2022年度该功能科目中有退休职工的公务员医疗补助，2023年则无</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eastAsia="仿宋_GB2312" w:cs="Times New Roman"/>
          <w:color w:val="auto"/>
          <w:kern w:val="2"/>
          <w:sz w:val="32"/>
          <w:szCs w:val="32"/>
          <w:highlight w:val="none"/>
          <w:lang w:val="en-US" w:eastAsia="zh-CN" w:bidi="ar-SA"/>
        </w:rPr>
        <w:t>12</w:t>
      </w:r>
      <w:r>
        <w:rPr>
          <w:rFonts w:hint="eastAsia" w:ascii="Times New Roman" w:hAnsi="Times New Roman" w:eastAsia="仿宋_GB2312" w:cs="Times New Roman"/>
          <w:color w:val="auto"/>
          <w:kern w:val="2"/>
          <w:sz w:val="32"/>
          <w:szCs w:val="32"/>
          <w:highlight w:val="none"/>
          <w:lang w:val="en-US" w:eastAsia="zh-CN" w:bidi="ar-SA"/>
        </w:rPr>
        <w:t>.住房保障支出（类）住房改革支出（款）住房公积金（项）:支出决算数为81.72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增加10.45万元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增长14.66</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ascii="仿宋_GB2312" w:eastAsia="仿宋_GB2312"/>
          <w:color w:val="auto"/>
          <w:spacing w:val="0"/>
          <w:sz w:val="32"/>
          <w:szCs w:val="32"/>
          <w:highlight w:val="none"/>
          <w:lang w:eastAsia="zh-CN"/>
        </w:rPr>
        <w:t>职工人数增加、</w:t>
      </w:r>
      <w:r>
        <w:rPr>
          <w:rFonts w:hint="eastAsia" w:ascii="仿宋_GB2312" w:hAnsi="仿宋" w:eastAsia="仿宋_GB2312"/>
          <w:sz w:val="32"/>
          <w:szCs w:val="32"/>
          <w:lang w:eastAsia="zh-CN"/>
        </w:rPr>
        <w:t>工资微调、各项</w:t>
      </w:r>
      <w:r>
        <w:rPr>
          <w:rFonts w:hint="eastAsia" w:ascii="仿宋_GB2312" w:hAnsi="仿宋" w:eastAsia="仿宋_GB2312"/>
          <w:color w:val="auto"/>
          <w:sz w:val="32"/>
          <w:szCs w:val="32"/>
          <w:lang w:eastAsia="zh-CN"/>
        </w:rPr>
        <w:t>缴费基数增加，支出增加</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1,175.02</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1,098.84</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绩效工资、机关事业单位基本养老保险缴费、职业年金缴费、职工基本医疗保险缴费、公务员医疗补助缴费、其他社会保障缴费、住房公积金、其他工资福利支出、退休费、抚恤金、医疗费补助、奖励金。</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eastAsia="仿宋_GB2312"/>
          <w:color w:val="auto"/>
          <w:sz w:val="32"/>
          <w:szCs w:val="32"/>
          <w:highlight w:val="red"/>
          <w:lang w:val="en-US" w:eastAsia="zh-CN"/>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76.18</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办公费、邮电费、差旅费、培训费、工会经费、福利费、公务用车运行维护费、公务用车购置。</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“三公”经费支出43.75万元，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增加43.75万元，</w:t>
      </w:r>
      <w:r>
        <w:rPr>
          <w:rFonts w:hint="eastAsia" w:ascii="仿宋_GB2312" w:eastAsia="仿宋_GB2312"/>
          <w:color w:val="auto"/>
          <w:spacing w:val="0"/>
          <w:sz w:val="32"/>
          <w:szCs w:val="32"/>
          <w:highlight w:val="none"/>
          <w:lang w:val="en-US" w:eastAsia="zh-CN"/>
        </w:rPr>
        <w:t>增长100.00%,</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pacing w:val="0"/>
          <w:sz w:val="32"/>
          <w:szCs w:val="32"/>
          <w:highlight w:val="none"/>
          <w:lang w:val="en-US" w:eastAsia="zh-CN"/>
        </w:rPr>
        <w:t>2022</w:t>
      </w:r>
      <w:r>
        <w:rPr>
          <w:rFonts w:hint="eastAsia" w:ascii="仿宋_GB2312" w:eastAsia="仿宋_GB2312"/>
          <w:color w:val="auto"/>
          <w:spacing w:val="0"/>
          <w:sz w:val="32"/>
          <w:szCs w:val="32"/>
          <w:highlight w:val="none"/>
          <w:lang w:eastAsia="zh-CN"/>
        </w:rPr>
        <w:t>年度</w:t>
      </w:r>
      <w:r>
        <w:rPr>
          <w:rFonts w:hint="eastAsia" w:ascii="仿宋_GB2312" w:eastAsia="仿宋_GB2312"/>
          <w:color w:val="auto"/>
          <w:sz w:val="32"/>
          <w:szCs w:val="32"/>
          <w:highlight w:val="none"/>
          <w:lang w:val="zh-CN" w:eastAsia="zh-CN"/>
        </w:rPr>
        <w:t>“三公”经费支出</w:t>
      </w:r>
      <w:r>
        <w:rPr>
          <w:rFonts w:hint="eastAsia" w:ascii="仿宋_GB2312" w:eastAsia="仿宋_GB2312"/>
          <w:color w:val="auto"/>
          <w:spacing w:val="0"/>
          <w:sz w:val="32"/>
          <w:szCs w:val="32"/>
          <w:highlight w:val="none"/>
          <w:lang w:eastAsia="zh-CN"/>
        </w:rPr>
        <w:t>支出为</w:t>
      </w:r>
      <w:r>
        <w:rPr>
          <w:rFonts w:hint="eastAsia" w:ascii="仿宋_GB2312" w:eastAsia="仿宋_GB2312"/>
          <w:color w:val="auto"/>
          <w:spacing w:val="0"/>
          <w:sz w:val="32"/>
          <w:szCs w:val="32"/>
          <w:highlight w:val="none"/>
          <w:lang w:val="en-US" w:eastAsia="zh-CN"/>
        </w:rPr>
        <w:t>0元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2023年</w:t>
      </w:r>
      <w:r>
        <w:rPr>
          <w:rFonts w:hint="eastAsia" w:ascii="仿宋_GB2312" w:eastAsia="仿宋_GB2312"/>
          <w:color w:val="auto"/>
          <w:sz w:val="32"/>
          <w:szCs w:val="32"/>
          <w:highlight w:val="none"/>
          <w:lang w:val="zh-CN" w:eastAsia="zh-CN"/>
        </w:rPr>
        <w:t>“三公”经费支出为</w:t>
      </w:r>
      <w:r>
        <w:rPr>
          <w:rFonts w:hint="eastAsia" w:ascii="仿宋_GB2312" w:eastAsia="仿宋_GB2312"/>
          <w:color w:val="auto"/>
          <w:sz w:val="32"/>
          <w:szCs w:val="32"/>
          <w:highlight w:val="none"/>
          <w:lang w:val="en-US" w:eastAsia="zh-CN"/>
        </w:rPr>
        <w:t>43.75万元，</w:t>
      </w:r>
      <w:r>
        <w:rPr>
          <w:rFonts w:hint="eastAsia" w:ascii="仿宋_GB2312" w:eastAsia="仿宋_GB2312"/>
          <w:color w:val="auto"/>
          <w:spacing w:val="0"/>
          <w:sz w:val="32"/>
          <w:szCs w:val="32"/>
          <w:highlight w:val="none"/>
          <w:lang w:eastAsia="zh-CN"/>
        </w:rPr>
        <w:t>因此增长</w:t>
      </w:r>
      <w:r>
        <w:rPr>
          <w:rFonts w:hint="eastAsia" w:ascii="仿宋_GB2312" w:eastAsia="仿宋_GB2312"/>
          <w:color w:val="auto"/>
          <w:spacing w:val="0"/>
          <w:sz w:val="32"/>
          <w:szCs w:val="32"/>
          <w:highlight w:val="none"/>
          <w:lang w:val="en-US" w:eastAsia="zh-CN"/>
        </w:rPr>
        <w:t>100%</w:t>
      </w:r>
      <w:r>
        <w:rPr>
          <w:rFonts w:hint="eastAsia" w:ascii="仿宋_GB2312" w:eastAsia="仿宋_GB2312"/>
          <w:color w:val="auto"/>
          <w:sz w:val="32"/>
          <w:szCs w:val="32"/>
          <w:highlight w:val="none"/>
          <w:lang w:val="zh-CN" w:eastAsia="zh-CN"/>
        </w:rPr>
        <w:t>。其中：因公出国（境）费支出0.00万元，占0.00%，比上年增加0.00万元，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z w:val="32"/>
          <w:szCs w:val="32"/>
        </w:rPr>
        <w:t>本年无因公出国（境）费支出，与上年相比无变动</w:t>
      </w:r>
      <w:r>
        <w:rPr>
          <w:rFonts w:hint="eastAsia" w:ascii="仿宋_GB2312" w:eastAsia="仿宋_GB2312"/>
          <w:color w:val="auto"/>
          <w:sz w:val="32"/>
          <w:szCs w:val="32"/>
          <w:highlight w:val="none"/>
          <w:lang w:val="zh-CN" w:eastAsia="zh-CN"/>
        </w:rPr>
        <w:t>；公务用车购置及运行维护费支出43.75万元，占100.00%，比上年增加43.75万元，</w:t>
      </w:r>
      <w:r>
        <w:rPr>
          <w:rFonts w:hint="eastAsia" w:ascii="仿宋_GB2312" w:eastAsia="仿宋_GB2312"/>
          <w:color w:val="auto"/>
          <w:spacing w:val="0"/>
          <w:sz w:val="32"/>
          <w:szCs w:val="32"/>
          <w:highlight w:val="none"/>
          <w:lang w:val="en-US" w:eastAsia="zh-CN"/>
        </w:rPr>
        <w:t>增长100.00%,</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pacing w:val="0"/>
          <w:sz w:val="32"/>
          <w:szCs w:val="32"/>
          <w:highlight w:val="none"/>
          <w:lang w:val="en-US" w:eastAsia="zh-CN"/>
        </w:rPr>
        <w:t>2022</w:t>
      </w:r>
      <w:r>
        <w:rPr>
          <w:rFonts w:hint="eastAsia" w:ascii="仿宋_GB2312" w:eastAsia="仿宋_GB2312"/>
          <w:color w:val="auto"/>
          <w:spacing w:val="0"/>
          <w:sz w:val="32"/>
          <w:szCs w:val="32"/>
          <w:highlight w:val="none"/>
          <w:lang w:eastAsia="zh-CN"/>
        </w:rPr>
        <w:t>年度无支出，因此增长</w:t>
      </w:r>
      <w:r>
        <w:rPr>
          <w:rFonts w:hint="eastAsia" w:ascii="仿宋_GB2312" w:eastAsia="仿宋_GB2312"/>
          <w:color w:val="auto"/>
          <w:spacing w:val="0"/>
          <w:sz w:val="32"/>
          <w:szCs w:val="32"/>
          <w:highlight w:val="none"/>
          <w:lang w:val="en-US" w:eastAsia="zh-CN"/>
        </w:rPr>
        <w:t>100%</w:t>
      </w:r>
      <w:r>
        <w:rPr>
          <w:rFonts w:hint="eastAsia" w:ascii="仿宋_GB2312" w:eastAsia="仿宋_GB2312"/>
          <w:color w:val="auto"/>
          <w:sz w:val="32"/>
          <w:szCs w:val="32"/>
          <w:highlight w:val="none"/>
          <w:lang w:val="zh-CN" w:eastAsia="zh-CN"/>
        </w:rPr>
        <w:t>；公务接待费支出0.00万元，占0.00%，比上年增加0.00万元，</w:t>
      </w:r>
      <w:r>
        <w:rPr>
          <w:rFonts w:hint="eastAsia" w:ascii="仿宋_GB2312" w:eastAsia="仿宋_GB2312"/>
          <w:color w:val="auto"/>
          <w:spacing w:val="0"/>
          <w:sz w:val="32"/>
          <w:szCs w:val="32"/>
          <w:highlight w:val="none"/>
          <w:lang w:val="en-US" w:eastAsia="zh-CN"/>
        </w:rPr>
        <w:t>增长0.00%,</w:t>
      </w:r>
      <w:r>
        <w:rPr>
          <w:rFonts w:hint="eastAsia" w:ascii="仿宋_GB2312" w:eastAsia="仿宋_GB2312"/>
          <w:color w:val="auto"/>
          <w:sz w:val="32"/>
          <w:szCs w:val="32"/>
          <w:highlight w:val="none"/>
          <w:lang w:val="zh-CN" w:eastAsia="zh-CN"/>
        </w:rPr>
        <w:t>主要原因是：</w:t>
      </w:r>
      <w:r>
        <w:rPr>
          <w:rFonts w:hint="eastAsia" w:ascii="仿宋_GB2312" w:eastAsia="仿宋_GB2312"/>
          <w:color w:val="auto"/>
          <w:sz w:val="32"/>
          <w:szCs w:val="32"/>
        </w:rPr>
        <w:t>本年无公务接待费支出，与上年相比无变动</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因公出国（境）费支出0.00万元，开支内容包括</w:t>
      </w:r>
      <w:r>
        <w:rPr>
          <w:rFonts w:hint="eastAsia" w:ascii="仿宋_GB2312" w:eastAsia="仿宋_GB2312"/>
          <w:sz w:val="32"/>
          <w:szCs w:val="32"/>
        </w:rPr>
        <w:t>本年未安排因公出国（境）费支出，无开支内容</w:t>
      </w:r>
      <w:r>
        <w:rPr>
          <w:rFonts w:hint="eastAsia" w:ascii="仿宋_GB2312" w:eastAsia="仿宋_GB2312"/>
          <w:color w:val="auto"/>
          <w:sz w:val="32"/>
          <w:szCs w:val="32"/>
          <w:highlight w:val="none"/>
          <w:lang w:val="zh-CN" w:eastAsia="zh-CN"/>
        </w:rPr>
        <w:t>。单位全年安排的因公出国（境）团组0个，因公出国（境）0人次。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公务用车购置及运行维护费43.75万元，其中：公务用车购置费43.38万元，公务用车运行维护费0.37万元。公务用车运行维护费开支内容包括车辆保险费、车辆维修费。公务用车购置数3辆，公务用车保有量</w:t>
      </w:r>
      <w:r>
        <w:rPr>
          <w:rFonts w:hint="eastAsia" w:ascii="仿宋_GB2312" w:eastAsia="仿宋_GB2312"/>
          <w:color w:val="auto"/>
          <w:sz w:val="32"/>
          <w:szCs w:val="32"/>
          <w:highlight w:val="none"/>
          <w:lang w:val="en-US" w:eastAsia="zh-CN"/>
        </w:rPr>
        <w:t>2</w:t>
      </w:r>
      <w:r>
        <w:rPr>
          <w:rFonts w:hint="eastAsia" w:ascii="仿宋_GB2312" w:eastAsia="仿宋_GB2312"/>
          <w:color w:val="auto"/>
          <w:sz w:val="32"/>
          <w:szCs w:val="32"/>
          <w:highlight w:val="none"/>
          <w:lang w:val="zh-CN" w:eastAsia="zh-CN"/>
        </w:rPr>
        <w:t>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16辆，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原因是：市委办的工作业务用车全部给机关事务管理局使用</w:t>
      </w:r>
      <w:r>
        <w:rPr>
          <w:rFonts w:hint="eastAsia" w:ascii="仿宋_GB2312" w:eastAsia="仿宋_GB2312"/>
          <w:color w:val="auto"/>
          <w:sz w:val="32"/>
          <w:szCs w:val="32"/>
          <w:highlight w:val="none"/>
          <w:lang w:val="en-US" w:eastAsia="zh-CN"/>
        </w:rPr>
        <w:t>14</w:t>
      </w:r>
      <w:r>
        <w:rPr>
          <w:rFonts w:hint="eastAsia" w:ascii="仿宋_GB2312" w:eastAsia="仿宋_GB2312"/>
          <w:color w:val="auto"/>
          <w:sz w:val="32"/>
          <w:szCs w:val="32"/>
          <w:highlight w:val="none"/>
          <w:lang w:val="zh-CN" w:eastAsia="zh-CN"/>
        </w:rPr>
        <w:t>辆小汽车（资产有车，但无车管理权限及运行维护费用），只有档案馆、机要局各有</w:t>
      </w:r>
      <w:r>
        <w:rPr>
          <w:rFonts w:hint="eastAsia" w:ascii="仿宋_GB2312" w:eastAsia="仿宋_GB2312"/>
          <w:color w:val="auto"/>
          <w:sz w:val="32"/>
          <w:szCs w:val="32"/>
          <w:highlight w:val="none"/>
          <w:lang w:val="en-US" w:eastAsia="zh-CN"/>
        </w:rPr>
        <w:t>1辆工作业务用车自用</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公务接待费0.00万元，开支内容包括</w:t>
      </w:r>
      <w:r>
        <w:rPr>
          <w:rFonts w:hint="eastAsia" w:ascii="仿宋_GB2312" w:hAnsi="宋体" w:eastAsia="仿宋_GB2312" w:cs="宋体"/>
          <w:kern w:val="0"/>
          <w:sz w:val="32"/>
          <w:szCs w:val="32"/>
        </w:rPr>
        <w:t>本年未安排公务接待费支出，无开支内容</w:t>
      </w:r>
      <w:r>
        <w:rPr>
          <w:rFonts w:hint="eastAsia" w:ascii="仿宋_GB2312" w:eastAsia="仿宋_GB2312"/>
          <w:color w:val="auto"/>
          <w:sz w:val="32"/>
          <w:szCs w:val="32"/>
          <w:highlight w:val="none"/>
          <w:lang w:val="zh-CN" w:eastAsia="zh-CN"/>
        </w:rPr>
        <w:t>。单位全年安排的国内公务接待0批次，0人次。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预算数43.75万元，决算数43.75万元，预决算差异率0.00%，主要原因是：</w:t>
      </w:r>
      <w:r>
        <w:rPr>
          <w:rFonts w:hint="eastAsia" w:ascii="仿宋_GB2312" w:eastAsia="仿宋_GB2312"/>
          <w:sz w:val="32"/>
          <w:szCs w:val="32"/>
        </w:rPr>
        <w:t>预决算无差异</w:t>
      </w:r>
      <w:r>
        <w:rPr>
          <w:rFonts w:hint="eastAsia" w:ascii="仿宋_GB2312" w:eastAsia="仿宋_GB2312"/>
          <w:color w:val="auto"/>
          <w:sz w:val="32"/>
          <w:szCs w:val="32"/>
          <w:highlight w:val="none"/>
          <w:lang w:val="zh-CN" w:eastAsia="zh-CN"/>
        </w:rPr>
        <w:t>。其中：因公出国（境）费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val="zh-CN" w:eastAsia="zh-CN"/>
        </w:rPr>
        <w:t>因公出国（境）费支出；公务用车购置费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预算数43.38万元，决算数43.38万元，预决算差异率0.00%，主要原因是：</w:t>
      </w:r>
      <w:r>
        <w:rPr>
          <w:rFonts w:hint="eastAsia" w:ascii="仿宋_GB2312" w:eastAsia="仿宋_GB2312"/>
          <w:sz w:val="32"/>
          <w:szCs w:val="32"/>
        </w:rPr>
        <w:t>预决算无差异</w:t>
      </w:r>
      <w:r>
        <w:rPr>
          <w:rFonts w:hint="eastAsia" w:ascii="仿宋_GB2312" w:eastAsia="仿宋_GB2312"/>
          <w:color w:val="auto"/>
          <w:sz w:val="32"/>
          <w:szCs w:val="32"/>
          <w:highlight w:val="none"/>
          <w:lang w:val="zh-CN" w:eastAsia="zh-CN"/>
        </w:rPr>
        <w:t>；公务用车运行维护费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预算数0.37万元，决算数0.37万元，预决算差异率0.00%，主要原因是：</w:t>
      </w:r>
      <w:r>
        <w:rPr>
          <w:rFonts w:hint="eastAsia" w:ascii="仿宋_GB2312" w:eastAsia="仿宋_GB2312"/>
          <w:sz w:val="32"/>
          <w:szCs w:val="32"/>
        </w:rPr>
        <w:t>预决算无差异</w:t>
      </w:r>
      <w:r>
        <w:rPr>
          <w:rFonts w:hint="eastAsia" w:ascii="仿宋_GB2312" w:eastAsia="仿宋_GB2312"/>
          <w:color w:val="auto"/>
          <w:sz w:val="32"/>
          <w:szCs w:val="32"/>
          <w:highlight w:val="none"/>
          <w:lang w:val="zh-CN" w:eastAsia="zh-CN"/>
        </w:rPr>
        <w:t>；公务接待费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lang w:eastAsia="zh-CN"/>
        </w:rPr>
        <w:t>我单位无</w:t>
      </w:r>
      <w:r>
        <w:rPr>
          <w:rFonts w:hint="eastAsia" w:ascii="仿宋_GB2312" w:eastAsia="仿宋_GB2312"/>
          <w:color w:val="auto"/>
          <w:sz w:val="32"/>
          <w:szCs w:val="32"/>
          <w:highlight w:val="none"/>
          <w:lang w:val="zh-CN" w:eastAsia="zh-CN"/>
        </w:rPr>
        <w:t>公务接待费支出。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8" w:name="_Toc5810"/>
      <w:bookmarkStart w:id="19" w:name="_Toc7927"/>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部门</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部门</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7314"/>
      <w:bookmarkStart w:id="21" w:name="_Toc12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3105"/>
      <w:bookmarkStart w:id="23" w:name="_Toc14519"/>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bookmarkStart w:id="24" w:name="_Toc227"/>
      <w:bookmarkStart w:id="25" w:name="_Toc26704"/>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en-US" w:eastAsia="zh-CN"/>
        </w:rPr>
        <w:t>中共库尔勒市委员会办公室（行政单位和参照公务员法管理事业单位）机关运行经费支出76.18万元，</w:t>
      </w:r>
      <w:r>
        <w:rPr>
          <w:rFonts w:hint="eastAsia" w:ascii="Times New Roman" w:hAnsi="Times New Roman" w:eastAsia="仿宋_GB2312" w:cs="Times New Roman"/>
          <w:color w:val="auto"/>
          <w:sz w:val="32"/>
          <w:szCs w:val="32"/>
          <w:highlight w:val="none"/>
          <w:lang w:val="zh-CN" w:eastAsia="zh-CN"/>
        </w:rPr>
        <w:t>比上年增加</w:t>
      </w:r>
      <w:r>
        <w:rPr>
          <w:rFonts w:hint="eastAsia" w:eastAsia="仿宋_GB2312" w:cs="Times New Roman"/>
          <w:color w:val="auto"/>
          <w:sz w:val="32"/>
          <w:szCs w:val="32"/>
          <w:highlight w:val="none"/>
          <w:lang w:val="en-US" w:eastAsia="zh-CN"/>
        </w:rPr>
        <w:t>58.67</w:t>
      </w:r>
      <w:r>
        <w:rPr>
          <w:rFonts w:hint="eastAsia" w:ascii="Times New Roman" w:hAnsi="Times New Roman" w:eastAsia="仿宋_GB2312" w:cs="Times New Roman"/>
          <w:color w:val="auto"/>
          <w:sz w:val="32"/>
          <w:szCs w:val="32"/>
          <w:highlight w:val="none"/>
          <w:lang w:val="zh-CN" w:eastAsia="zh-CN"/>
        </w:rPr>
        <w:t>万元，增长</w:t>
      </w:r>
      <w:r>
        <w:rPr>
          <w:rFonts w:hint="eastAsia" w:eastAsia="仿宋_GB2312" w:cs="Times New Roman"/>
          <w:color w:val="auto"/>
          <w:sz w:val="32"/>
          <w:szCs w:val="32"/>
          <w:highlight w:val="none"/>
          <w:lang w:val="en-US" w:eastAsia="zh-CN"/>
        </w:rPr>
        <w:t>335.07</w:t>
      </w:r>
      <w:r>
        <w:rPr>
          <w:rFonts w:hint="eastAsia" w:ascii="Times New Roman" w:hAnsi="Times New Roman" w:eastAsia="仿宋_GB2312" w:cs="Times New Roman"/>
          <w:color w:val="auto"/>
          <w:sz w:val="32"/>
          <w:szCs w:val="32"/>
          <w:highlight w:val="none"/>
          <w:lang w:val="zh-CN" w:eastAsia="zh-CN"/>
        </w:rPr>
        <w:t>%，主要原因是：</w:t>
      </w:r>
      <w:r>
        <w:rPr>
          <w:rFonts w:hint="eastAsia" w:ascii="仿宋_GB2312" w:hAnsi="仿宋" w:eastAsia="仿宋_GB2312"/>
          <w:sz w:val="32"/>
          <w:szCs w:val="32"/>
          <w:lang w:val="en-US" w:eastAsia="zh-CN"/>
        </w:rPr>
        <w:t>购买3辆小汽车43.38万元</w:t>
      </w:r>
      <w:r>
        <w:rPr>
          <w:rFonts w:hint="eastAsia" w:ascii="Times New Roman" w:hAnsi="Times New Roman" w:eastAsia="仿宋_GB2312" w:cs="Times New Roman"/>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rPr>
      </w:pPr>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zh-CN"/>
        </w:rPr>
        <w:t>政府采购支出总额</w:t>
      </w:r>
      <w:r>
        <w:rPr>
          <w:rFonts w:hint="eastAsia" w:ascii="Times New Roman" w:hAnsi="Times New Roman" w:eastAsia="仿宋_GB2312" w:cs="Times New Roman"/>
          <w:color w:val="auto"/>
          <w:sz w:val="32"/>
          <w:szCs w:val="32"/>
          <w:highlight w:val="none"/>
          <w:lang w:val="zh-CN" w:eastAsia="zh-CN"/>
        </w:rPr>
        <w:t>60.21万元</w:t>
      </w:r>
      <w:r>
        <w:rPr>
          <w:rFonts w:hint="eastAsia" w:ascii="Times New Roman" w:hAnsi="Times New Roman" w:eastAsia="仿宋_GB2312" w:cs="Times New Roman"/>
          <w:color w:val="auto"/>
          <w:sz w:val="32"/>
          <w:szCs w:val="32"/>
          <w:highlight w:val="none"/>
          <w:lang w:val="zh-CN"/>
        </w:rPr>
        <w:t>，</w:t>
      </w:r>
      <w:r>
        <w:rPr>
          <w:rFonts w:hint="eastAsia" w:ascii="Times New Roman" w:hAnsi="Times New Roman" w:eastAsia="仿宋_GB2312" w:cs="Times New Roman"/>
          <w:color w:val="auto"/>
          <w:sz w:val="32"/>
          <w:szCs w:val="32"/>
          <w:highlight w:val="none"/>
          <w:lang w:val="zh-CN" w:eastAsia="zh-CN"/>
        </w:rPr>
        <w:t>其中：政府采购货物支出47.13万元、政府采购工程支出0.00万元、政府采购服务支出13.08万元。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zh-CN" w:eastAsia="zh-CN"/>
        </w:rPr>
        <w:t>授予中小企业合同金额16.60万元，占政府采购支出总额的27.57</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zh-CN" w:eastAsia="zh-CN"/>
        </w:rPr>
        <w:t>，其中：授予小微企业合同金额4.38万元，占政府采购支出总额的7.27</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bookmarkStart w:id="26" w:name="_Toc8391"/>
      <w:bookmarkStart w:id="27" w:name="_Toc4591"/>
      <w:r>
        <w:rPr>
          <w:rFonts w:hint="eastAsia" w:ascii="Times New Roman" w:hAnsi="Times New Roman" w:eastAsia="黑体" w:cs="Times New Roman"/>
          <w:color w:val="auto"/>
          <w:sz w:val="32"/>
          <w:szCs w:val="30"/>
          <w:highlight w:val="none"/>
          <w:lang w:val="zh-CN" w:eastAsia="zh-CN"/>
        </w:rPr>
        <w:t>（三）国有资产占用情况说明</w:t>
      </w:r>
      <w:bookmarkEnd w:id="26"/>
      <w:bookmarkEnd w:id="2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en-US" w:eastAsia="zh-CN"/>
        </w:rPr>
        <w:t>截至2023</w:t>
      </w:r>
      <w:r>
        <w:rPr>
          <w:rFonts w:hint="eastAsia" w:ascii="Times New Roman" w:hAnsi="Times New Roman" w:eastAsia="仿宋_GB2312" w:cs="Times New Roman"/>
          <w:color w:val="auto"/>
          <w:sz w:val="32"/>
          <w:szCs w:val="32"/>
          <w:highlight w:val="none"/>
          <w:lang w:val="zh-CN" w:eastAsia="zh-CN"/>
        </w:rPr>
        <w:t>年</w:t>
      </w:r>
      <w:r>
        <w:rPr>
          <w:rFonts w:hint="eastAsia" w:ascii="Times New Roman" w:hAnsi="Times New Roman" w:eastAsia="仿宋_GB2312" w:cs="Times New Roman"/>
          <w:color w:val="auto"/>
          <w:sz w:val="32"/>
          <w:szCs w:val="32"/>
          <w:highlight w:val="none"/>
          <w:lang w:val="en-US" w:eastAsia="zh-CN"/>
        </w:rPr>
        <w:t>12月31日</w:t>
      </w:r>
      <w:r>
        <w:rPr>
          <w:rFonts w:hint="eastAsia"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固定资产原值</w:t>
      </w:r>
      <w:r>
        <w:rPr>
          <w:rFonts w:hint="eastAsia" w:ascii="Times New Roman" w:hAnsi="Times New Roman" w:eastAsia="仿宋_GB2312" w:cs="Times New Roman"/>
          <w:color w:val="auto"/>
          <w:sz w:val="32"/>
          <w:szCs w:val="32"/>
          <w:highlight w:val="none"/>
          <w:lang w:val="zh-CN" w:eastAsia="zh-CN"/>
        </w:rPr>
        <w:t>1,275.14</w:t>
      </w:r>
      <w:r>
        <w:rPr>
          <w:rFonts w:hint="eastAsia" w:ascii="Times New Roman" w:hAnsi="Times New Roman" w:eastAsia="仿宋_GB2312" w:cs="Times New Roman"/>
          <w:color w:val="auto"/>
          <w:sz w:val="32"/>
          <w:szCs w:val="32"/>
          <w:highlight w:val="none"/>
          <w:lang w:val="en-US" w:eastAsia="zh-CN"/>
        </w:rPr>
        <w:t>万元，房</w:t>
      </w:r>
      <w:r>
        <w:rPr>
          <w:rFonts w:hint="eastAsia" w:ascii="Times New Roman" w:hAnsi="Times New Roman" w:eastAsia="仿宋_GB2312" w:cs="Times New Roman"/>
          <w:color w:val="auto"/>
          <w:sz w:val="32"/>
          <w:szCs w:val="32"/>
          <w:highlight w:val="none"/>
          <w:lang w:val="zh-CN" w:eastAsia="zh-CN"/>
        </w:rPr>
        <w:t>屋0.0平方米，价值0.00万元。车辆16辆，价值258.38万元，其中：副部（省）级及以上领导用车0辆、主要</w:t>
      </w:r>
      <w:r>
        <w:rPr>
          <w:rFonts w:hint="eastAsia" w:ascii="Times New Roman" w:hAnsi="Times New Roman" w:eastAsia="仿宋_GB2312" w:cs="Times New Roman"/>
          <w:color w:val="auto"/>
          <w:sz w:val="32"/>
          <w:szCs w:val="32"/>
          <w:highlight w:val="none"/>
          <w:lang w:val="en-US" w:eastAsia="zh-CN"/>
        </w:rPr>
        <w:t>负责人</w:t>
      </w:r>
      <w:r>
        <w:rPr>
          <w:rFonts w:hint="eastAsia" w:ascii="Times New Roman" w:hAnsi="Times New Roman" w:eastAsia="仿宋_GB2312" w:cs="Times New Roman"/>
          <w:color w:val="auto"/>
          <w:sz w:val="32"/>
          <w:szCs w:val="32"/>
          <w:highlight w:val="none"/>
          <w:lang w:val="zh-CN" w:eastAsia="zh-CN"/>
        </w:rPr>
        <w:t>用车0辆、机要通信用车0辆、应急保障用车1辆、执法执勤用车0辆、特种专业技术用车0辆、离退休干部</w:t>
      </w:r>
      <w:r>
        <w:rPr>
          <w:rFonts w:hint="eastAsia" w:ascii="Times New Roman" w:hAnsi="Times New Roman" w:eastAsia="仿宋_GB2312" w:cs="Times New Roman"/>
          <w:color w:val="auto"/>
          <w:sz w:val="32"/>
          <w:szCs w:val="32"/>
          <w:highlight w:val="none"/>
          <w:lang w:val="en-US" w:eastAsia="zh-CN"/>
        </w:rPr>
        <w:t>服务</w:t>
      </w:r>
      <w:r>
        <w:rPr>
          <w:rFonts w:hint="eastAsia" w:ascii="Times New Roman" w:hAnsi="Times New Roman" w:eastAsia="仿宋_GB2312" w:cs="Times New Roman"/>
          <w:color w:val="auto"/>
          <w:sz w:val="32"/>
          <w:szCs w:val="32"/>
          <w:highlight w:val="none"/>
          <w:lang w:val="zh-CN" w:eastAsia="zh-CN"/>
        </w:rPr>
        <w:t>用车0辆、</w:t>
      </w:r>
      <w:r>
        <w:rPr>
          <w:rFonts w:hint="eastAsia" w:eastAsia="仿宋_GB2312" w:cs="Times New Roman"/>
          <w:color w:val="auto"/>
          <w:sz w:val="32"/>
          <w:szCs w:val="32"/>
          <w:highlight w:val="none"/>
          <w:lang w:val="zh-CN" w:eastAsia="zh-CN"/>
        </w:rPr>
        <w:t>工作业务用车</w:t>
      </w:r>
      <w:r>
        <w:rPr>
          <w:rFonts w:hint="eastAsia" w:ascii="Times New Roman" w:hAnsi="Times New Roman" w:eastAsia="仿宋_GB2312" w:cs="Times New Roman"/>
          <w:color w:val="auto"/>
          <w:sz w:val="32"/>
          <w:szCs w:val="32"/>
          <w:highlight w:val="none"/>
          <w:lang w:val="zh-CN" w:eastAsia="zh-CN"/>
        </w:rPr>
        <w:t>15辆，</w:t>
      </w:r>
      <w:r>
        <w:rPr>
          <w:rFonts w:hint="eastAsia" w:eastAsia="仿宋_GB2312" w:cs="Times New Roman"/>
          <w:color w:val="auto"/>
          <w:sz w:val="32"/>
          <w:szCs w:val="32"/>
          <w:highlight w:val="none"/>
          <w:lang w:val="zh-CN" w:eastAsia="zh-CN"/>
        </w:rPr>
        <w:t>工作业务</w:t>
      </w:r>
      <w:r>
        <w:rPr>
          <w:rFonts w:hint="eastAsia" w:ascii="Times New Roman" w:hAnsi="Times New Roman" w:eastAsia="仿宋_GB2312" w:cs="Times New Roman"/>
          <w:color w:val="auto"/>
          <w:sz w:val="32"/>
          <w:szCs w:val="32"/>
          <w:highlight w:val="none"/>
          <w:lang w:val="zh-CN" w:eastAsia="zh-CN"/>
        </w:rPr>
        <w:t>用车主要是：</w:t>
      </w:r>
      <w:r>
        <w:rPr>
          <w:rFonts w:hint="eastAsia" w:eastAsia="仿宋_GB2312" w:cs="Times New Roman"/>
          <w:color w:val="auto"/>
          <w:sz w:val="32"/>
          <w:szCs w:val="32"/>
          <w:highlight w:val="none"/>
          <w:lang w:val="zh-CN" w:eastAsia="zh-CN"/>
        </w:rPr>
        <w:t>单位工作业务用车</w:t>
      </w:r>
      <w:r>
        <w:rPr>
          <w:rFonts w:hint="eastAsia" w:ascii="Times New Roman" w:hAnsi="Times New Roman" w:eastAsia="仿宋_GB2312" w:cs="Times New Roman"/>
          <w:color w:val="auto"/>
          <w:sz w:val="32"/>
          <w:szCs w:val="32"/>
          <w:highlight w:val="none"/>
          <w:lang w:val="zh-CN" w:eastAsia="zh-CN"/>
        </w:rPr>
        <w:t>；单价100万元（含）以上设备（不含车辆）0</w:t>
      </w:r>
      <w:r>
        <w:rPr>
          <w:rFonts w:hint="eastAsia" w:ascii="Times New Roman" w:hAnsi="Times New Roman" w:eastAsia="仿宋_GB2312" w:cs="Times New Roman"/>
          <w:color w:val="auto"/>
          <w:sz w:val="32"/>
          <w:szCs w:val="32"/>
          <w:highlight w:val="none"/>
          <w:lang w:val="en-US" w:eastAsia="zh-CN"/>
        </w:rPr>
        <w:t>台（</w:t>
      </w:r>
      <w:r>
        <w:rPr>
          <w:rFonts w:hint="eastAsia" w:ascii="Times New Roman" w:hAnsi="Times New Roman" w:eastAsia="仿宋_GB2312" w:cs="Times New Roman"/>
          <w:color w:val="auto"/>
          <w:sz w:val="32"/>
          <w:szCs w:val="32"/>
          <w:highlight w:val="none"/>
          <w:lang w:val="zh-CN" w:eastAsia="zh-CN"/>
        </w:rPr>
        <w:t>套）。</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435"/>
      <w:bookmarkStart w:id="29" w:name="_Toc11283"/>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部门</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0</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color w:val="auto"/>
          <w:sz w:val="32"/>
          <w:szCs w:val="32"/>
          <w:highlight w:val="none"/>
          <w:lang w:val="en-US" w:eastAsia="zh-CN"/>
        </w:rPr>
        <w:t>预算总额0</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实际执行总额0</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8</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全年预算数288.56</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全年执行数297.05</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（其中</w:t>
      </w:r>
      <w:r>
        <w:rPr>
          <w:rFonts w:hint="eastAsia" w:ascii="仿宋_GB2312" w:hAnsi="仿宋_GB2312" w:eastAsia="仿宋_GB2312" w:cs="仿宋_GB2312"/>
          <w:color w:val="auto"/>
          <w:kern w:val="0"/>
          <w:sz w:val="32"/>
          <w:szCs w:val="32"/>
          <w:highlight w:val="none"/>
          <w:lang w:val="en-US" w:eastAsia="zh-CN"/>
        </w:rPr>
        <w:t>下属单位中共库尔勒市委员会机要保密局的2023年度决算不公开，因此</w:t>
      </w:r>
      <w:r>
        <w:rPr>
          <w:rFonts w:hint="eastAsia" w:ascii="仿宋_GB2312" w:eastAsia="仿宋_GB2312"/>
          <w:color w:val="auto"/>
          <w:sz w:val="32"/>
          <w:szCs w:val="32"/>
          <w:highlight w:val="none"/>
          <w:lang w:eastAsia="zh-CN"/>
        </w:rPr>
        <w:t>预算绩效评价项目</w:t>
      </w:r>
      <w:r>
        <w:rPr>
          <w:rFonts w:hint="eastAsia" w:ascii="仿宋_GB2312" w:hAnsi="仿宋_GB2312" w:eastAsia="仿宋_GB2312" w:cs="仿宋_GB2312"/>
          <w:color w:val="auto"/>
          <w:kern w:val="0"/>
          <w:sz w:val="32"/>
          <w:szCs w:val="32"/>
          <w:highlight w:val="none"/>
          <w:lang w:val="en-US" w:eastAsia="zh-CN"/>
        </w:rPr>
        <w:t>中共库尔勒市委员会机要保密局</w:t>
      </w:r>
      <w:r>
        <w:rPr>
          <w:rFonts w:hint="eastAsia" w:ascii="仿宋_GB2312" w:eastAsia="仿宋_GB2312"/>
          <w:color w:val="auto"/>
          <w:sz w:val="32"/>
          <w:szCs w:val="32"/>
          <w:highlight w:val="none"/>
          <w:lang w:eastAsia="zh-CN"/>
        </w:rPr>
        <w:t>部分不能公开，因此存在预算绩效评价个数、金额与绩效自评表不符）。预算绩效管理取得的成效：一是</w:t>
      </w:r>
      <w:r>
        <w:rPr>
          <w:rFonts w:hint="eastAsia" w:ascii="仿宋_GB2312" w:eastAsia="仿宋_GB2312"/>
          <w:sz w:val="32"/>
          <w:szCs w:val="32"/>
        </w:rPr>
        <w:t>项目绩效目标完成情况与项目资金支出进度存在脱节情况；二是填报内容过于简单，对绩效目标偏差问题缺乏有效分析，无法监控绩效目标的实现程度，还有待进一步提升单位整体绩效管理理念。下一步改进措施：一是强化对项目资金绩效实现情况的责任约束，对专项资金偏离预算绩效目标的支出，及时采取有效措施予以纠正，进一步规范专项资金使用绩效；二是加强财政资金使用效益跟踪“回头看”，针对资金绩效运行状况，及时预控、查找资金使用和管理过程中的薄弱环节，提出纠偏措施</w:t>
      </w:r>
      <w:r>
        <w:rPr>
          <w:rFonts w:hint="eastAsia" w:ascii="仿宋_GB2312" w:eastAsia="仿宋_GB2312"/>
          <w:color w:val="auto"/>
          <w:sz w:val="32"/>
          <w:szCs w:val="32"/>
          <w:highlight w:val="none"/>
          <w:lang w:eastAsia="zh-CN"/>
        </w:rPr>
        <w:t>。具体</w:t>
      </w:r>
      <w:r>
        <w:rPr>
          <w:rFonts w:hint="eastAsia" w:ascii="仿宋_GB2312" w:eastAsia="仿宋_GB2312"/>
          <w:color w:val="auto"/>
          <w:sz w:val="32"/>
          <w:szCs w:val="32"/>
          <w:highlight w:val="none"/>
        </w:rPr>
        <w:t>项目自评情况附绩效自评表</w:t>
      </w:r>
      <w:r>
        <w:rPr>
          <w:rFonts w:hint="eastAsia" w:ascii="仿宋_GB2312" w:eastAsia="仿宋_GB2312"/>
          <w:color w:val="auto"/>
          <w:sz w:val="32"/>
          <w:szCs w:val="32"/>
          <w:highlight w:val="none"/>
          <w:lang w:val="en-US" w:eastAsia="zh-CN"/>
        </w:rPr>
        <w:t>及自评报告</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本部门其他需说明事项：1、汇总部门整体绩效由下属单位编报。2、下属单位中共库尔勒市委员会机要保密局的2023年度决算不公开，因此</w:t>
      </w:r>
      <w:r>
        <w:rPr>
          <w:rFonts w:hint="eastAsia" w:ascii="仿宋_GB2312" w:eastAsia="仿宋_GB2312"/>
          <w:color w:val="auto"/>
          <w:sz w:val="32"/>
          <w:szCs w:val="32"/>
          <w:highlight w:val="none"/>
          <w:lang w:eastAsia="zh-CN"/>
        </w:rPr>
        <w:t>预算绩效评价项目</w:t>
      </w:r>
      <w:r>
        <w:rPr>
          <w:rFonts w:hint="eastAsia" w:ascii="仿宋_GB2312" w:hAnsi="仿宋_GB2312" w:eastAsia="仿宋_GB2312" w:cs="仿宋_GB2312"/>
          <w:color w:val="auto"/>
          <w:kern w:val="0"/>
          <w:sz w:val="32"/>
          <w:szCs w:val="32"/>
          <w:highlight w:val="none"/>
          <w:lang w:val="en-US" w:eastAsia="zh-CN"/>
        </w:rPr>
        <w:t>中共库尔勒市委员会机要保密局</w:t>
      </w:r>
      <w:r>
        <w:rPr>
          <w:rFonts w:hint="eastAsia" w:ascii="仿宋_GB2312" w:eastAsia="仿宋_GB2312"/>
          <w:color w:val="auto"/>
          <w:sz w:val="32"/>
          <w:szCs w:val="32"/>
          <w:highlight w:val="none"/>
          <w:lang w:eastAsia="zh-CN"/>
        </w:rPr>
        <w:t>部分不能公开，因此存在预算绩效评价个数、金额与绩效自评表不符。</w:t>
      </w:r>
      <w:bookmarkStart w:id="48" w:name="_GoBack"/>
      <w:bookmarkEnd w:id="48"/>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30" w:name="_Toc3250"/>
      <w:bookmarkStart w:id="31" w:name="_Toc24143"/>
      <w:r>
        <w:rPr>
          <w:rFonts w:hint="eastAsia" w:ascii="黑体" w:hAnsi="黑体" w:eastAsia="黑体"/>
          <w:color w:val="auto"/>
          <w:sz w:val="32"/>
          <w:szCs w:val="32"/>
          <w:highlight w:val="none"/>
        </w:rPr>
        <w:br w:type="page"/>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2183"/>
      <w:bookmarkStart w:id="33" w:name="_Toc6062"/>
      <w:r>
        <w:rPr>
          <w:rFonts w:hint="eastAsia" w:ascii="黑体" w:hAnsi="黑体" w:eastAsia="仿宋_GB2312" w:cs="宋体"/>
          <w:bCs/>
          <w:color w:val="auto"/>
          <w:kern w:val="0"/>
          <w:sz w:val="32"/>
          <w:szCs w:val="32"/>
          <w:highlight w:val="none"/>
        </w:rPr>
        <w:t>一、《收入支出决算总表》</w:t>
      </w:r>
      <w:bookmarkEnd w:id="32"/>
      <w:bookmarkEnd w:id="3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30364"/>
      <w:bookmarkStart w:id="35" w:name="_Toc24532"/>
      <w:r>
        <w:rPr>
          <w:rFonts w:hint="eastAsia" w:ascii="黑体" w:hAnsi="黑体" w:eastAsia="仿宋_GB2312" w:cs="宋体"/>
          <w:bCs/>
          <w:color w:val="auto"/>
          <w:kern w:val="0"/>
          <w:sz w:val="32"/>
          <w:szCs w:val="32"/>
          <w:highlight w:val="none"/>
        </w:rPr>
        <w:t>二、《收入决算表》</w:t>
      </w:r>
      <w:bookmarkEnd w:id="34"/>
      <w:bookmarkEnd w:id="3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32434"/>
      <w:bookmarkStart w:id="37" w:name="_Toc21304"/>
      <w:r>
        <w:rPr>
          <w:rFonts w:hint="eastAsia" w:ascii="黑体" w:hAnsi="黑体" w:eastAsia="仿宋_GB2312" w:cs="宋体"/>
          <w:bCs/>
          <w:color w:val="auto"/>
          <w:kern w:val="0"/>
          <w:sz w:val="32"/>
          <w:szCs w:val="32"/>
          <w:highlight w:val="none"/>
        </w:rPr>
        <w:t>三、《支出决算表》</w:t>
      </w:r>
      <w:bookmarkEnd w:id="36"/>
      <w:bookmarkEnd w:id="3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14238"/>
      <w:bookmarkStart w:id="39" w:name="_Toc28786"/>
      <w:r>
        <w:rPr>
          <w:rFonts w:hint="eastAsia" w:ascii="黑体" w:hAnsi="黑体" w:eastAsia="仿宋_GB2312" w:cs="宋体"/>
          <w:bCs/>
          <w:color w:val="auto"/>
          <w:kern w:val="0"/>
          <w:sz w:val="32"/>
          <w:szCs w:val="32"/>
          <w:highlight w:val="none"/>
        </w:rPr>
        <w:t>四、《财政拨款收入支出决算总表》</w:t>
      </w:r>
      <w:bookmarkEnd w:id="38"/>
      <w:bookmarkEnd w:id="3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0347"/>
      <w:bookmarkStart w:id="41" w:name="_Toc14869"/>
      <w:r>
        <w:rPr>
          <w:rFonts w:hint="eastAsia" w:ascii="黑体" w:hAnsi="黑体" w:eastAsia="仿宋_GB2312" w:cs="宋体"/>
          <w:bCs/>
          <w:color w:val="auto"/>
          <w:kern w:val="0"/>
          <w:sz w:val="32"/>
          <w:szCs w:val="32"/>
          <w:highlight w:val="none"/>
        </w:rPr>
        <w:t>五、《一般公共预算财政拨款支出决算表》</w:t>
      </w:r>
      <w:bookmarkEnd w:id="40"/>
      <w:bookmarkEnd w:id="4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5626"/>
      <w:bookmarkStart w:id="43" w:name="_Toc8884"/>
      <w:r>
        <w:rPr>
          <w:rFonts w:hint="eastAsia" w:ascii="黑体" w:hAnsi="黑体" w:eastAsia="仿宋_GB2312" w:cs="宋体"/>
          <w:bCs/>
          <w:color w:val="auto"/>
          <w:kern w:val="0"/>
          <w:sz w:val="32"/>
          <w:szCs w:val="32"/>
          <w:highlight w:val="none"/>
        </w:rPr>
        <w:t>六、《一般公共预算财政拨款基本支出决算表》</w:t>
      </w:r>
      <w:bookmarkEnd w:id="42"/>
      <w:bookmarkEnd w:id="4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29106"/>
      <w:bookmarkStart w:id="45" w:name="_Toc32663"/>
      <w:r>
        <w:rPr>
          <w:rFonts w:hint="eastAsia" w:ascii="黑体" w:hAnsi="黑体" w:eastAsia="仿宋_GB2312" w:cs="宋体"/>
          <w:bCs/>
          <w:color w:val="auto"/>
          <w:kern w:val="0"/>
          <w:sz w:val="32"/>
          <w:szCs w:val="32"/>
          <w:highlight w:val="none"/>
        </w:rPr>
        <w:t>《财政拨款“三公”经费支出决算表》</w:t>
      </w:r>
      <w:bookmarkEnd w:id="44"/>
      <w:bookmarkEnd w:id="4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5453"/>
      <w:bookmarkStart w:id="47" w:name="_Toc764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pPr>
        <w:bidi w:val="0"/>
        <w:rPr>
          <w:rFonts w:hint="eastAsia" w:ascii="Times New Roman" w:hAnsi="Times New Roman" w:eastAsia="宋体" w:cs="Times New Roman"/>
          <w:kern w:val="2"/>
          <w:sz w:val="21"/>
          <w:szCs w:val="24"/>
          <w:lang w:val="en-US" w:eastAsia="zh-CN" w:bidi="ar-SA"/>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jc w:val="center"/>
        <w:rPr>
          <w:rFonts w:hint="eastAsia"/>
          <w:lang w:val="en-US" w:eastAsia="zh-CN"/>
        </w:rPr>
      </w:pPr>
    </w:p>
    <w:p>
      <w:pPr>
        <w:bidi w:val="0"/>
        <w:jc w:val="center"/>
        <w:rPr>
          <w:rFonts w:hint="eastAsia"/>
          <w:lang w:val="en-US" w:eastAsia="zh-CN"/>
        </w:rPr>
      </w:pPr>
    </w:p>
    <w:p>
      <w:pPr>
        <w:bidi w:val="0"/>
        <w:jc w:val="center"/>
      </w:pPr>
      <w:r>
        <w:drawing>
          <wp:inline distT="0" distB="0" distL="114300" distR="114300">
            <wp:extent cx="5271770" cy="7716520"/>
            <wp:effectExtent l="0" t="0" r="5080" b="17780"/>
            <wp:docPr id="1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0"/>
                    <pic:cNvPicPr>
                      <a:picLocks noChangeAspect="1"/>
                    </pic:cNvPicPr>
                  </pic:nvPicPr>
                  <pic:blipFill>
                    <a:blip r:embed="rId6"/>
                    <a:stretch>
                      <a:fillRect/>
                    </a:stretch>
                  </pic:blipFill>
                  <pic:spPr>
                    <a:xfrm>
                      <a:off x="0" y="0"/>
                      <a:ext cx="5271770" cy="7716520"/>
                    </a:xfrm>
                    <a:prstGeom prst="rect">
                      <a:avLst/>
                    </a:prstGeom>
                    <a:noFill/>
                    <a:ln>
                      <a:noFill/>
                    </a:ln>
                  </pic:spPr>
                </pic:pic>
              </a:graphicData>
            </a:graphic>
          </wp:inline>
        </w:drawing>
      </w:r>
    </w:p>
    <w:p>
      <w:pPr>
        <w:bidi w:val="0"/>
        <w:rPr>
          <w:rFonts w:hint="eastAsia" w:ascii="Times New Roman" w:hAnsi="Times New Roman" w:eastAsia="宋体" w:cs="Times New Roman"/>
          <w:kern w:val="2"/>
          <w:sz w:val="21"/>
          <w:szCs w:val="24"/>
          <w:lang w:val="en-US" w:eastAsia="zh-CN" w:bidi="ar-SA"/>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jc w:val="center"/>
        <w:rPr>
          <w:rFonts w:hint="eastAsia"/>
          <w:lang w:val="en-US" w:eastAsia="zh-CN"/>
        </w:rPr>
      </w:pPr>
    </w:p>
    <w:p>
      <w:pPr>
        <w:bidi w:val="0"/>
        <w:jc w:val="center"/>
        <w:rPr>
          <w:rFonts w:hint="eastAsia"/>
          <w:lang w:val="en-US" w:eastAsia="zh-CN"/>
        </w:rPr>
      </w:pPr>
      <w:r>
        <w:drawing>
          <wp:inline distT="0" distB="0" distL="114300" distR="114300">
            <wp:extent cx="5265420" cy="7147560"/>
            <wp:effectExtent l="0" t="0" r="11430" b="15240"/>
            <wp:docPr id="13"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1"/>
                    <pic:cNvPicPr>
                      <a:picLocks noChangeAspect="1"/>
                    </pic:cNvPicPr>
                  </pic:nvPicPr>
                  <pic:blipFill>
                    <a:blip r:embed="rId7"/>
                    <a:stretch>
                      <a:fillRect/>
                    </a:stretch>
                  </pic:blipFill>
                  <pic:spPr>
                    <a:xfrm>
                      <a:off x="0" y="0"/>
                      <a:ext cx="5265420" cy="7147560"/>
                    </a:xfrm>
                    <a:prstGeom prst="rect">
                      <a:avLst/>
                    </a:prstGeom>
                    <a:noFill/>
                    <a:ln>
                      <a:noFill/>
                    </a:ln>
                  </pic:spPr>
                </pic:pic>
              </a:graphicData>
            </a:graphic>
          </wp:inline>
        </w:drawing>
      </w:r>
    </w:p>
    <w:p>
      <w:pPr>
        <w:bidi w:val="0"/>
        <w:jc w:val="center"/>
        <w:rPr>
          <w:rFonts w:hint="eastAsia"/>
          <w:lang w:val="en-US" w:eastAsia="zh-CN"/>
        </w:rPr>
      </w:pPr>
    </w:p>
    <w:p>
      <w:pPr>
        <w:bidi w:val="0"/>
        <w:jc w:val="center"/>
        <w:rPr>
          <w:rFonts w:hint="eastAsia"/>
          <w:lang w:val="en-US" w:eastAsia="zh-CN"/>
        </w:rPr>
      </w:pPr>
    </w:p>
    <w:p>
      <w:pPr>
        <w:bidi w:val="0"/>
        <w:jc w:val="center"/>
        <w:rPr>
          <w:rFonts w:hint="eastAsia"/>
          <w:lang w:val="en-US" w:eastAsia="zh-CN"/>
        </w:rPr>
      </w:pPr>
    </w:p>
    <w:p>
      <w:pPr>
        <w:bidi w:val="0"/>
        <w:jc w:val="center"/>
        <w:rPr>
          <w:rFonts w:hint="eastAsia"/>
          <w:lang w:val="en-US" w:eastAsia="zh-CN"/>
        </w:rPr>
      </w:pPr>
    </w:p>
    <w:p>
      <w:pPr>
        <w:bidi w:val="0"/>
        <w:jc w:val="center"/>
        <w:rPr>
          <w:rFonts w:hint="eastAsia"/>
          <w:lang w:val="en-US" w:eastAsia="zh-CN"/>
        </w:rPr>
      </w:pPr>
    </w:p>
    <w:p>
      <w:pPr>
        <w:bidi w:val="0"/>
        <w:jc w:val="center"/>
        <w:rPr>
          <w:rFonts w:hint="eastAsia"/>
          <w:lang w:val="en-US" w:eastAsia="zh-CN"/>
        </w:rPr>
      </w:pPr>
    </w:p>
    <w:p>
      <w:pPr>
        <w:bidi w:val="0"/>
        <w:jc w:val="center"/>
        <w:rPr>
          <w:rFonts w:hint="eastAsia"/>
          <w:lang w:val="en-US" w:eastAsia="zh-CN"/>
        </w:rPr>
      </w:pPr>
      <w:r>
        <w:drawing>
          <wp:inline distT="0" distB="0" distL="114300" distR="114300">
            <wp:extent cx="5269865" cy="6898640"/>
            <wp:effectExtent l="0" t="0" r="6985" b="16510"/>
            <wp:docPr id="14"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2"/>
                    <pic:cNvPicPr>
                      <a:picLocks noChangeAspect="1"/>
                    </pic:cNvPicPr>
                  </pic:nvPicPr>
                  <pic:blipFill>
                    <a:blip r:embed="rId8"/>
                    <a:stretch>
                      <a:fillRect/>
                    </a:stretch>
                  </pic:blipFill>
                  <pic:spPr>
                    <a:xfrm>
                      <a:off x="0" y="0"/>
                      <a:ext cx="5269865" cy="6898640"/>
                    </a:xfrm>
                    <a:prstGeom prst="rect">
                      <a:avLst/>
                    </a:prstGeom>
                    <a:noFill/>
                    <a:ln>
                      <a:noFill/>
                    </a:ln>
                  </pic:spPr>
                </pic:pic>
              </a:graphicData>
            </a:graphic>
          </wp:inline>
        </w:drawing>
      </w:r>
    </w:p>
    <w:p>
      <w:pPr>
        <w:bidi w:val="0"/>
        <w:jc w:val="center"/>
        <w:rPr>
          <w:rFonts w:hint="eastAsia"/>
          <w:lang w:val="en-US" w:eastAsia="zh-CN"/>
        </w:rPr>
      </w:pPr>
    </w:p>
    <w:p>
      <w:pPr>
        <w:bidi w:val="0"/>
        <w:jc w:val="center"/>
        <w:rPr>
          <w:rFonts w:hint="eastAsia"/>
          <w:lang w:val="en-US" w:eastAsia="zh-CN"/>
        </w:rPr>
      </w:pPr>
    </w:p>
    <w:p>
      <w:pPr>
        <w:bidi w:val="0"/>
        <w:jc w:val="center"/>
        <w:rPr>
          <w:rFonts w:hint="eastAsia"/>
          <w:lang w:val="en-US" w:eastAsia="zh-CN"/>
        </w:rPr>
      </w:pPr>
    </w:p>
    <w:p>
      <w:pPr>
        <w:bidi w:val="0"/>
        <w:jc w:val="center"/>
        <w:rPr>
          <w:rFonts w:hint="eastAsia"/>
          <w:lang w:val="en-US" w:eastAsia="zh-CN"/>
        </w:rPr>
      </w:pPr>
    </w:p>
    <w:p>
      <w:pPr>
        <w:bidi w:val="0"/>
        <w:jc w:val="center"/>
        <w:rPr>
          <w:rFonts w:hint="eastAsia"/>
          <w:lang w:val="en-US" w:eastAsia="zh-CN"/>
        </w:rPr>
      </w:pPr>
    </w:p>
    <w:p>
      <w:pPr>
        <w:bidi w:val="0"/>
        <w:jc w:val="center"/>
        <w:rPr>
          <w:rFonts w:hint="eastAsia"/>
          <w:lang w:val="en-US" w:eastAsia="zh-CN"/>
        </w:rPr>
      </w:pPr>
    </w:p>
    <w:p>
      <w:pPr>
        <w:bidi w:val="0"/>
        <w:jc w:val="center"/>
        <w:rPr>
          <w:rFonts w:hint="eastAsia"/>
          <w:lang w:val="en-US" w:eastAsia="zh-CN"/>
        </w:rPr>
      </w:pPr>
    </w:p>
    <w:p>
      <w:pPr>
        <w:bidi w:val="0"/>
        <w:jc w:val="center"/>
        <w:rPr>
          <w:rFonts w:hint="eastAsia"/>
          <w:lang w:val="en-US" w:eastAsia="zh-CN"/>
        </w:rPr>
      </w:pPr>
    </w:p>
    <w:p>
      <w:pPr>
        <w:bidi w:val="0"/>
        <w:jc w:val="center"/>
        <w:rPr>
          <w:rFonts w:hint="eastAsia"/>
          <w:lang w:val="en-US" w:eastAsia="zh-CN"/>
        </w:rPr>
      </w:pPr>
    </w:p>
    <w:p>
      <w:pPr>
        <w:bidi w:val="0"/>
        <w:jc w:val="center"/>
        <w:rPr>
          <w:rFonts w:hint="eastAsia"/>
          <w:lang w:val="en-US" w:eastAsia="zh-CN"/>
        </w:rPr>
      </w:pPr>
      <w:r>
        <w:drawing>
          <wp:inline distT="0" distB="0" distL="114300" distR="114300">
            <wp:extent cx="5267960" cy="7620635"/>
            <wp:effectExtent l="0" t="0" r="8890" b="18415"/>
            <wp:docPr id="15"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3"/>
                    <pic:cNvPicPr>
                      <a:picLocks noChangeAspect="1"/>
                    </pic:cNvPicPr>
                  </pic:nvPicPr>
                  <pic:blipFill>
                    <a:blip r:embed="rId9"/>
                    <a:stretch>
                      <a:fillRect/>
                    </a:stretch>
                  </pic:blipFill>
                  <pic:spPr>
                    <a:xfrm>
                      <a:off x="0" y="0"/>
                      <a:ext cx="5267960" cy="7620635"/>
                    </a:xfrm>
                    <a:prstGeom prst="rect">
                      <a:avLst/>
                    </a:prstGeom>
                    <a:noFill/>
                    <a:ln>
                      <a:noFill/>
                    </a:ln>
                  </pic:spPr>
                </pic:pic>
              </a:graphicData>
            </a:graphic>
          </wp:inline>
        </w:drawing>
      </w:r>
    </w:p>
    <w:p>
      <w:pPr>
        <w:bidi w:val="0"/>
        <w:jc w:val="center"/>
        <w:rPr>
          <w:rFonts w:hint="eastAsia"/>
          <w:lang w:val="en-US" w:eastAsia="zh-CN"/>
        </w:rPr>
      </w:pPr>
    </w:p>
    <w:p>
      <w:pPr>
        <w:bidi w:val="0"/>
        <w:jc w:val="center"/>
      </w:pPr>
    </w:p>
    <w:p>
      <w:pPr>
        <w:bidi w:val="0"/>
        <w:rPr>
          <w:rFonts w:hint="eastAsia" w:ascii="Times New Roman" w:hAnsi="Times New Roman" w:eastAsia="宋体" w:cs="Times New Roman"/>
          <w:kern w:val="2"/>
          <w:sz w:val="21"/>
          <w:szCs w:val="24"/>
          <w:lang w:val="en-US" w:eastAsia="zh-CN" w:bidi="ar-SA"/>
        </w:rPr>
      </w:pPr>
    </w:p>
    <w:p>
      <w:pPr>
        <w:bidi w:val="0"/>
        <w:rPr>
          <w:rFonts w:hint="eastAsia"/>
          <w:lang w:val="en-US" w:eastAsia="zh-CN"/>
        </w:rPr>
      </w:pPr>
    </w:p>
    <w:p>
      <w:pPr>
        <w:bidi w:val="0"/>
        <w:jc w:val="center"/>
        <w:rPr>
          <w:rFonts w:hint="eastAsia"/>
          <w:lang w:val="en-US" w:eastAsia="zh-CN"/>
        </w:rPr>
      </w:pPr>
    </w:p>
    <w:p>
      <w:pPr>
        <w:bidi w:val="0"/>
        <w:jc w:val="center"/>
        <w:rPr>
          <w:rFonts w:hint="eastAsia"/>
          <w:lang w:val="en-US" w:eastAsia="zh-CN"/>
        </w:rPr>
      </w:pPr>
      <w:r>
        <w:drawing>
          <wp:inline distT="0" distB="0" distL="114300" distR="114300">
            <wp:extent cx="5271135" cy="8004175"/>
            <wp:effectExtent l="0" t="0" r="5715" b="15875"/>
            <wp:docPr id="16"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4"/>
                    <pic:cNvPicPr>
                      <a:picLocks noChangeAspect="1"/>
                    </pic:cNvPicPr>
                  </pic:nvPicPr>
                  <pic:blipFill>
                    <a:blip r:embed="rId10"/>
                    <a:stretch>
                      <a:fillRect/>
                    </a:stretch>
                  </pic:blipFill>
                  <pic:spPr>
                    <a:xfrm>
                      <a:off x="0" y="0"/>
                      <a:ext cx="5271135" cy="8004175"/>
                    </a:xfrm>
                    <a:prstGeom prst="rect">
                      <a:avLst/>
                    </a:prstGeom>
                    <a:noFill/>
                    <a:ln>
                      <a:noFill/>
                    </a:ln>
                  </pic:spPr>
                </pic:pic>
              </a:graphicData>
            </a:graphic>
          </wp:inline>
        </w:drawing>
      </w:r>
    </w:p>
    <w:p>
      <w:pPr>
        <w:bidi w:val="0"/>
        <w:jc w:val="center"/>
        <w:rPr>
          <w:rFonts w:hint="eastAsia"/>
          <w:lang w:val="en-US" w:eastAsia="zh-CN"/>
        </w:rPr>
      </w:pPr>
    </w:p>
    <w:p>
      <w:pPr>
        <w:bidi w:val="0"/>
        <w:jc w:val="center"/>
        <w:rPr>
          <w:rFonts w:hint="eastAsia"/>
          <w:lang w:val="en-US" w:eastAsia="zh-CN"/>
        </w:rPr>
      </w:pPr>
    </w:p>
    <w:p>
      <w:pPr>
        <w:bidi w:val="0"/>
        <w:jc w:val="center"/>
        <w:rPr>
          <w:rFonts w:hint="eastAsia"/>
          <w:lang w:val="en-US" w:eastAsia="zh-CN"/>
        </w:rPr>
      </w:pPr>
    </w:p>
    <w:p>
      <w:pPr>
        <w:bidi w:val="0"/>
        <w:jc w:val="center"/>
        <w:rPr>
          <w:rFonts w:hint="eastAsia"/>
          <w:lang w:val="en-US" w:eastAsia="zh-CN"/>
        </w:rPr>
      </w:pPr>
    </w:p>
    <w:p>
      <w:pPr>
        <w:bidi w:val="0"/>
        <w:jc w:val="center"/>
      </w:pPr>
      <w:r>
        <w:drawing>
          <wp:inline distT="0" distB="0" distL="114300" distR="114300">
            <wp:extent cx="5267960" cy="7790180"/>
            <wp:effectExtent l="0" t="0" r="8890" b="127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11"/>
                    <a:stretch>
                      <a:fillRect/>
                    </a:stretch>
                  </pic:blipFill>
                  <pic:spPr>
                    <a:xfrm>
                      <a:off x="0" y="0"/>
                      <a:ext cx="5267960" cy="7790180"/>
                    </a:xfrm>
                    <a:prstGeom prst="rect">
                      <a:avLst/>
                    </a:prstGeom>
                    <a:noFill/>
                    <a:ln>
                      <a:noFill/>
                    </a:ln>
                  </pic:spPr>
                </pic:pic>
              </a:graphicData>
            </a:graphic>
          </wp:inline>
        </w:drawing>
      </w:r>
    </w:p>
    <w:p>
      <w:pPr>
        <w:bidi w:val="0"/>
        <w:rPr>
          <w:rFonts w:hint="eastAsia" w:ascii="Times New Roman" w:hAnsi="Times New Roman" w:eastAsia="宋体" w:cs="Times New Roman"/>
          <w:kern w:val="2"/>
          <w:sz w:val="21"/>
          <w:szCs w:val="24"/>
          <w:lang w:val="en-US" w:eastAsia="zh-CN" w:bidi="ar-SA"/>
        </w:rPr>
      </w:pPr>
      <w:r>
        <w:drawing>
          <wp:inline distT="0" distB="0" distL="114300" distR="114300">
            <wp:extent cx="5264785" cy="2626360"/>
            <wp:effectExtent l="0" t="0" r="12065" b="2540"/>
            <wp:docPr id="18"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6"/>
                    <pic:cNvPicPr>
                      <a:picLocks noChangeAspect="1"/>
                    </pic:cNvPicPr>
                  </pic:nvPicPr>
                  <pic:blipFill>
                    <a:blip r:embed="rId12"/>
                    <a:stretch>
                      <a:fillRect/>
                    </a:stretch>
                  </pic:blipFill>
                  <pic:spPr>
                    <a:xfrm>
                      <a:off x="0" y="0"/>
                      <a:ext cx="5264785" cy="2626360"/>
                    </a:xfrm>
                    <a:prstGeom prst="rect">
                      <a:avLst/>
                    </a:prstGeom>
                    <a:noFill/>
                    <a:ln>
                      <a:noFill/>
                    </a:ln>
                  </pic:spPr>
                </pic:pic>
              </a:graphicData>
            </a:graphic>
          </wp:inline>
        </w:drawing>
      </w: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jc w:val="center"/>
        <w:rPr>
          <w:rFonts w:hint="eastAsia"/>
          <w:lang w:val="en-US" w:eastAsia="zh-CN"/>
        </w:rPr>
      </w:pPr>
    </w:p>
    <w:p>
      <w:pPr>
        <w:bidi w:val="0"/>
        <w:rPr>
          <w:rFonts w:hint="eastAsia" w:ascii="Times New Roman" w:hAnsi="Times New Roman" w:eastAsia="宋体" w:cs="Times New Roman"/>
          <w:kern w:val="2"/>
          <w:sz w:val="21"/>
          <w:szCs w:val="24"/>
          <w:lang w:val="en-US" w:eastAsia="zh-CN" w:bidi="ar-SA"/>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r>
        <w:drawing>
          <wp:inline distT="0" distB="0" distL="114300" distR="114300">
            <wp:extent cx="5271770" cy="3637280"/>
            <wp:effectExtent l="0" t="0" r="5080" b="1270"/>
            <wp:docPr id="19"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7"/>
                    <pic:cNvPicPr>
                      <a:picLocks noChangeAspect="1"/>
                    </pic:cNvPicPr>
                  </pic:nvPicPr>
                  <pic:blipFill>
                    <a:blip r:embed="rId13"/>
                    <a:stretch>
                      <a:fillRect/>
                    </a:stretch>
                  </pic:blipFill>
                  <pic:spPr>
                    <a:xfrm>
                      <a:off x="0" y="0"/>
                      <a:ext cx="5271770" cy="3637280"/>
                    </a:xfrm>
                    <a:prstGeom prst="rect">
                      <a:avLst/>
                    </a:prstGeom>
                    <a:noFill/>
                    <a:ln>
                      <a:noFill/>
                    </a:ln>
                  </pic:spPr>
                </pic:pic>
              </a:graphicData>
            </a:graphic>
          </wp:inline>
        </w:drawing>
      </w: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jc w:val="center"/>
        <w:rPr>
          <w:rFonts w:hint="eastAsia"/>
          <w:lang w:val="en-US" w:eastAsia="zh-CN"/>
        </w:rPr>
      </w:pPr>
    </w:p>
    <w:p>
      <w:pPr>
        <w:bidi w:val="0"/>
        <w:jc w:val="center"/>
        <w:rPr>
          <w:rFonts w:hint="eastAsia"/>
          <w:lang w:val="en-US" w:eastAsia="zh-CN"/>
        </w:rPr>
      </w:pPr>
    </w:p>
    <w:p>
      <w:pPr>
        <w:bidi w:val="0"/>
        <w:jc w:val="center"/>
        <w:rPr>
          <w:rFonts w:hint="eastAsia"/>
          <w:lang w:val="en-US" w:eastAsia="zh-CN"/>
        </w:rPr>
      </w:pPr>
    </w:p>
    <w:p>
      <w:pPr>
        <w:bidi w:val="0"/>
        <w:jc w:val="center"/>
        <w:rPr>
          <w:rFonts w:hint="eastAsia"/>
          <w:lang w:val="en-US" w:eastAsia="zh-CN"/>
        </w:rPr>
      </w:pPr>
    </w:p>
    <w:p>
      <w:pPr>
        <w:bidi w:val="0"/>
        <w:jc w:val="center"/>
        <w:rPr>
          <w:rFonts w:hint="eastAsia"/>
          <w:lang w:val="en-US" w:eastAsia="zh-CN"/>
        </w:rPr>
      </w:pPr>
    </w:p>
    <w:p>
      <w:pPr>
        <w:bidi w:val="0"/>
        <w:jc w:val="center"/>
        <w:rPr>
          <w:rFonts w:hint="eastAsia"/>
          <w:lang w:val="en-US" w:eastAsia="zh-CN"/>
        </w:rPr>
      </w:pPr>
    </w:p>
    <w:p>
      <w:pPr>
        <w:bidi w:val="0"/>
        <w:jc w:val="center"/>
        <w:rPr>
          <w:rFonts w:hint="eastAsia"/>
          <w:lang w:val="en-US" w:eastAsia="zh-CN"/>
        </w:rPr>
      </w:pPr>
    </w:p>
    <w:p>
      <w:pPr>
        <w:bidi w:val="0"/>
        <w:jc w:val="center"/>
        <w:rPr>
          <w:rFonts w:hint="eastAsia"/>
          <w:lang w:val="en-US" w:eastAsia="zh-CN"/>
        </w:rPr>
      </w:pPr>
    </w:p>
    <w:p>
      <w:pPr>
        <w:bidi w:val="0"/>
        <w:jc w:val="center"/>
        <w:rPr>
          <w:rFonts w:hint="eastAsia"/>
          <w:lang w:val="en-US" w:eastAsia="zh-CN"/>
        </w:rPr>
      </w:pPr>
    </w:p>
    <w:p>
      <w:pPr>
        <w:bidi w:val="0"/>
        <w:jc w:val="center"/>
        <w:rPr>
          <w:rFonts w:hint="eastAsia"/>
          <w:lang w:val="en-US" w:eastAsia="zh-CN"/>
        </w:rPr>
      </w:pPr>
    </w:p>
    <w:p>
      <w:pPr>
        <w:bidi w:val="0"/>
        <w:jc w:val="center"/>
        <w:rPr>
          <w:rFonts w:hint="eastAsia"/>
          <w:lang w:val="en-US" w:eastAsia="zh-CN"/>
        </w:rPr>
      </w:pPr>
    </w:p>
    <w:p>
      <w:pPr>
        <w:bidi w:val="0"/>
        <w:jc w:val="center"/>
        <w:rPr>
          <w:rFonts w:hint="eastAsia"/>
          <w:lang w:val="en-US" w:eastAsia="zh-CN"/>
        </w:rPr>
      </w:pPr>
    </w:p>
    <w:p>
      <w:pPr>
        <w:bidi w:val="0"/>
        <w:jc w:val="center"/>
        <w:rPr>
          <w:rFonts w:hint="eastAsia"/>
          <w:lang w:val="en-US" w:eastAsia="zh-CN"/>
        </w:rPr>
      </w:pPr>
    </w:p>
    <w:p>
      <w:pPr>
        <w:bidi w:val="0"/>
        <w:jc w:val="center"/>
        <w:rPr>
          <w:rFonts w:hint="eastAsia"/>
          <w:lang w:val="en-US" w:eastAsia="zh-CN"/>
        </w:rPr>
      </w:pPr>
      <w:r>
        <w:drawing>
          <wp:inline distT="0" distB="0" distL="114300" distR="114300">
            <wp:extent cx="5266690" cy="2877185"/>
            <wp:effectExtent l="0" t="0" r="10160" b="18415"/>
            <wp:docPr id="20"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18"/>
                    <pic:cNvPicPr>
                      <a:picLocks noChangeAspect="1"/>
                    </pic:cNvPicPr>
                  </pic:nvPicPr>
                  <pic:blipFill>
                    <a:blip r:embed="rId14"/>
                    <a:stretch>
                      <a:fillRect/>
                    </a:stretch>
                  </pic:blipFill>
                  <pic:spPr>
                    <a:xfrm>
                      <a:off x="0" y="0"/>
                      <a:ext cx="5266690" cy="2877185"/>
                    </a:xfrm>
                    <a:prstGeom prst="rect">
                      <a:avLst/>
                    </a:prstGeom>
                    <a:noFill/>
                    <a:ln>
                      <a:noFill/>
                    </a:ln>
                  </pic:spPr>
                </pic:pic>
              </a:graphicData>
            </a:graphic>
          </wp:inline>
        </w:drawing>
      </w:r>
    </w:p>
    <w:p>
      <w:pPr>
        <w:bidi w:val="0"/>
        <w:jc w:val="center"/>
        <w:rPr>
          <w:rFonts w:hint="eastAsia"/>
          <w:lang w:val="en-US" w:eastAsia="zh-CN"/>
        </w:rPr>
      </w:pPr>
    </w:p>
    <w:p>
      <w:pPr>
        <w:bidi w:val="0"/>
        <w:jc w:val="center"/>
        <w:rPr>
          <w:rFonts w:hint="eastAsia"/>
          <w:lang w:val="en-US" w:eastAsia="zh-CN"/>
        </w:rPr>
      </w:pPr>
    </w:p>
    <w:p>
      <w:pPr>
        <w:bidi w:val="0"/>
        <w:jc w:val="center"/>
        <w:rPr>
          <w:rFonts w:hint="eastAsia"/>
          <w:lang w:val="en-US" w:eastAsia="zh-CN"/>
        </w:rPr>
      </w:pPr>
    </w:p>
    <w:sectPr>
      <w:footerReference r:id="rId4"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D+1oXZ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96670A1"/>
    <w:multiLevelType w:val="singleLevel"/>
    <w:tmpl w:val="B96670A1"/>
    <w:lvl w:ilvl="0" w:tentative="0">
      <w:start w:val="1"/>
      <w:numFmt w:val="decimal"/>
      <w:lvlText w:val="%1."/>
      <w:lvlJc w:val="left"/>
      <w:pPr>
        <w:tabs>
          <w:tab w:val="left" w:pos="312"/>
        </w:tabs>
      </w:pPr>
    </w:lvl>
  </w:abstractNum>
  <w:abstractNum w:abstractNumId="1">
    <w:nsid w:val="103F031D"/>
    <w:multiLevelType w:val="singleLevel"/>
    <w:tmpl w:val="103F031D"/>
    <w:lvl w:ilvl="0" w:tentative="0">
      <w:start w:val="2"/>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yOGZmZWJiZjkzMTc5MjUxM2FlYjUzNmFjOTJhZmYifQ=="/>
    <w:docVar w:name="KSO_WPS_MARK_KEY" w:val="41ee2a61-2d54-4f93-83be-afdb9a40d732"/>
  </w:docVars>
  <w:rsids>
    <w:rsidRoot w:val="00000000"/>
    <w:rsid w:val="00213C59"/>
    <w:rsid w:val="003210CE"/>
    <w:rsid w:val="00B70D59"/>
    <w:rsid w:val="00F52A8D"/>
    <w:rsid w:val="019404F8"/>
    <w:rsid w:val="02BD3108"/>
    <w:rsid w:val="02F73D26"/>
    <w:rsid w:val="034D4FEF"/>
    <w:rsid w:val="035D1785"/>
    <w:rsid w:val="039F47CE"/>
    <w:rsid w:val="03E05CE8"/>
    <w:rsid w:val="03F973EE"/>
    <w:rsid w:val="04190D0B"/>
    <w:rsid w:val="043E5B56"/>
    <w:rsid w:val="04C04386"/>
    <w:rsid w:val="04D96608"/>
    <w:rsid w:val="04FA68C4"/>
    <w:rsid w:val="053F5AE6"/>
    <w:rsid w:val="057C0B0F"/>
    <w:rsid w:val="05EF4B48"/>
    <w:rsid w:val="05F76ECA"/>
    <w:rsid w:val="063D260D"/>
    <w:rsid w:val="06792773"/>
    <w:rsid w:val="07093795"/>
    <w:rsid w:val="07804730"/>
    <w:rsid w:val="079052BE"/>
    <w:rsid w:val="08145C21"/>
    <w:rsid w:val="08422688"/>
    <w:rsid w:val="085854ED"/>
    <w:rsid w:val="0879188F"/>
    <w:rsid w:val="08A0354D"/>
    <w:rsid w:val="08CD4C49"/>
    <w:rsid w:val="09114954"/>
    <w:rsid w:val="0918192C"/>
    <w:rsid w:val="095A5B83"/>
    <w:rsid w:val="096466E3"/>
    <w:rsid w:val="0968304D"/>
    <w:rsid w:val="09AF3D17"/>
    <w:rsid w:val="0A7809B7"/>
    <w:rsid w:val="0A7B4867"/>
    <w:rsid w:val="0A840954"/>
    <w:rsid w:val="0A9928ED"/>
    <w:rsid w:val="0AD76D02"/>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395099"/>
    <w:rsid w:val="0F78534A"/>
    <w:rsid w:val="0F89358A"/>
    <w:rsid w:val="0F8C6D51"/>
    <w:rsid w:val="0FE1614E"/>
    <w:rsid w:val="105B0B5E"/>
    <w:rsid w:val="1089522B"/>
    <w:rsid w:val="112E58D0"/>
    <w:rsid w:val="11731CAC"/>
    <w:rsid w:val="119500A0"/>
    <w:rsid w:val="11C0733B"/>
    <w:rsid w:val="11D50D17"/>
    <w:rsid w:val="120E0809"/>
    <w:rsid w:val="127F665A"/>
    <w:rsid w:val="12932078"/>
    <w:rsid w:val="12F7068C"/>
    <w:rsid w:val="14207DC0"/>
    <w:rsid w:val="14B932DA"/>
    <w:rsid w:val="14DB66BA"/>
    <w:rsid w:val="150A66AF"/>
    <w:rsid w:val="154C1139"/>
    <w:rsid w:val="158C5B77"/>
    <w:rsid w:val="160D1149"/>
    <w:rsid w:val="163563C0"/>
    <w:rsid w:val="164315EF"/>
    <w:rsid w:val="16557DFE"/>
    <w:rsid w:val="167268FB"/>
    <w:rsid w:val="16770D0A"/>
    <w:rsid w:val="16C545FC"/>
    <w:rsid w:val="16D50C50"/>
    <w:rsid w:val="16E120E1"/>
    <w:rsid w:val="17385A05"/>
    <w:rsid w:val="173B3901"/>
    <w:rsid w:val="176747F9"/>
    <w:rsid w:val="17954A6E"/>
    <w:rsid w:val="180059E9"/>
    <w:rsid w:val="184510FD"/>
    <w:rsid w:val="190648B0"/>
    <w:rsid w:val="19071D6C"/>
    <w:rsid w:val="19547E96"/>
    <w:rsid w:val="19D26CD4"/>
    <w:rsid w:val="19E60D19"/>
    <w:rsid w:val="1A3E3450"/>
    <w:rsid w:val="1AD61D42"/>
    <w:rsid w:val="1AD807E5"/>
    <w:rsid w:val="1B39345B"/>
    <w:rsid w:val="1BFB2A1F"/>
    <w:rsid w:val="1C015D4A"/>
    <w:rsid w:val="1C290ED5"/>
    <w:rsid w:val="1C317E4F"/>
    <w:rsid w:val="1C472464"/>
    <w:rsid w:val="1CAA25BB"/>
    <w:rsid w:val="1D22799A"/>
    <w:rsid w:val="1D5C1A72"/>
    <w:rsid w:val="1D8C218B"/>
    <w:rsid w:val="1DAF458D"/>
    <w:rsid w:val="1E086ACE"/>
    <w:rsid w:val="1E62130A"/>
    <w:rsid w:val="1E97358B"/>
    <w:rsid w:val="1EAA4A5F"/>
    <w:rsid w:val="1EE869A7"/>
    <w:rsid w:val="1FA15E62"/>
    <w:rsid w:val="1FED69B6"/>
    <w:rsid w:val="2064678E"/>
    <w:rsid w:val="20DC1AB9"/>
    <w:rsid w:val="20DD6197"/>
    <w:rsid w:val="20E32076"/>
    <w:rsid w:val="212631E0"/>
    <w:rsid w:val="21A53757"/>
    <w:rsid w:val="221236C6"/>
    <w:rsid w:val="22734FEE"/>
    <w:rsid w:val="22D7662C"/>
    <w:rsid w:val="23326B7F"/>
    <w:rsid w:val="2380045B"/>
    <w:rsid w:val="23BC04D2"/>
    <w:rsid w:val="23EF1892"/>
    <w:rsid w:val="2483647E"/>
    <w:rsid w:val="24A32D55"/>
    <w:rsid w:val="25292727"/>
    <w:rsid w:val="252E5CA9"/>
    <w:rsid w:val="256F7692"/>
    <w:rsid w:val="25BA2154"/>
    <w:rsid w:val="25C8773F"/>
    <w:rsid w:val="25DD2E0C"/>
    <w:rsid w:val="264A7253"/>
    <w:rsid w:val="26E768C7"/>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BD92831"/>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1452EA"/>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1145A"/>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8B6CBC"/>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A6B5E"/>
    <w:rsid w:val="3FED7F8A"/>
    <w:rsid w:val="40094AEF"/>
    <w:rsid w:val="405470BD"/>
    <w:rsid w:val="40794A29"/>
    <w:rsid w:val="40834692"/>
    <w:rsid w:val="41431AD5"/>
    <w:rsid w:val="414B3C0F"/>
    <w:rsid w:val="417C1CE7"/>
    <w:rsid w:val="41900018"/>
    <w:rsid w:val="41944406"/>
    <w:rsid w:val="41CE128F"/>
    <w:rsid w:val="41DA6F12"/>
    <w:rsid w:val="42141E8C"/>
    <w:rsid w:val="42171FB1"/>
    <w:rsid w:val="434E6957"/>
    <w:rsid w:val="43BA0E31"/>
    <w:rsid w:val="43C15147"/>
    <w:rsid w:val="43E14DD2"/>
    <w:rsid w:val="43F800E9"/>
    <w:rsid w:val="443A7E4B"/>
    <w:rsid w:val="44C0684D"/>
    <w:rsid w:val="452364BF"/>
    <w:rsid w:val="452F5B3A"/>
    <w:rsid w:val="454E7FD2"/>
    <w:rsid w:val="45A95CEC"/>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9824A8F"/>
    <w:rsid w:val="4A0A26D2"/>
    <w:rsid w:val="4A2019A5"/>
    <w:rsid w:val="4A241A0B"/>
    <w:rsid w:val="4A436381"/>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4FEA02BB"/>
    <w:rsid w:val="50447CC2"/>
    <w:rsid w:val="507C51DB"/>
    <w:rsid w:val="50874A7C"/>
    <w:rsid w:val="50895EE7"/>
    <w:rsid w:val="50921B9D"/>
    <w:rsid w:val="50D16158"/>
    <w:rsid w:val="50DB5F45"/>
    <w:rsid w:val="51025EB1"/>
    <w:rsid w:val="51141503"/>
    <w:rsid w:val="518D0ED5"/>
    <w:rsid w:val="51A23503"/>
    <w:rsid w:val="525C687F"/>
    <w:rsid w:val="52F647F7"/>
    <w:rsid w:val="52F92565"/>
    <w:rsid w:val="53D03877"/>
    <w:rsid w:val="542F73CA"/>
    <w:rsid w:val="5430786D"/>
    <w:rsid w:val="545A1D2A"/>
    <w:rsid w:val="54C811C0"/>
    <w:rsid w:val="550555BD"/>
    <w:rsid w:val="556A442D"/>
    <w:rsid w:val="55DA564E"/>
    <w:rsid w:val="56001CC4"/>
    <w:rsid w:val="5604127D"/>
    <w:rsid w:val="56166703"/>
    <w:rsid w:val="56510474"/>
    <w:rsid w:val="56616733"/>
    <w:rsid w:val="567113AA"/>
    <w:rsid w:val="56861525"/>
    <w:rsid w:val="56A93273"/>
    <w:rsid w:val="56BD550C"/>
    <w:rsid w:val="56E07045"/>
    <w:rsid w:val="56FF28AF"/>
    <w:rsid w:val="57540E7D"/>
    <w:rsid w:val="577B4878"/>
    <w:rsid w:val="57926973"/>
    <w:rsid w:val="58175352"/>
    <w:rsid w:val="581F2200"/>
    <w:rsid w:val="583059FA"/>
    <w:rsid w:val="584A0929"/>
    <w:rsid w:val="58CD2491"/>
    <w:rsid w:val="591B41B2"/>
    <w:rsid w:val="591C74D3"/>
    <w:rsid w:val="59254A26"/>
    <w:rsid w:val="59326325"/>
    <w:rsid w:val="595C505B"/>
    <w:rsid w:val="595E55C3"/>
    <w:rsid w:val="596E7E20"/>
    <w:rsid w:val="5A60780B"/>
    <w:rsid w:val="5AB34579"/>
    <w:rsid w:val="5AFC6609"/>
    <w:rsid w:val="5B113480"/>
    <w:rsid w:val="5BD456CE"/>
    <w:rsid w:val="5C0D1F49"/>
    <w:rsid w:val="5C7B2C67"/>
    <w:rsid w:val="5CBB0CE2"/>
    <w:rsid w:val="5CC17177"/>
    <w:rsid w:val="5CF306BC"/>
    <w:rsid w:val="5D3F3D64"/>
    <w:rsid w:val="5D833043"/>
    <w:rsid w:val="5DD92690"/>
    <w:rsid w:val="5DDB1CFD"/>
    <w:rsid w:val="5E7E6D93"/>
    <w:rsid w:val="5ED44800"/>
    <w:rsid w:val="5F2627A6"/>
    <w:rsid w:val="5F350BDE"/>
    <w:rsid w:val="5F61632C"/>
    <w:rsid w:val="5F8E42A8"/>
    <w:rsid w:val="5FA17648"/>
    <w:rsid w:val="5FE705CB"/>
    <w:rsid w:val="603D5080"/>
    <w:rsid w:val="60D0261B"/>
    <w:rsid w:val="612B05B7"/>
    <w:rsid w:val="61836981"/>
    <w:rsid w:val="618E3791"/>
    <w:rsid w:val="61947DCA"/>
    <w:rsid w:val="61A46A97"/>
    <w:rsid w:val="61D1382F"/>
    <w:rsid w:val="61F114A2"/>
    <w:rsid w:val="62512BB4"/>
    <w:rsid w:val="625D7D1A"/>
    <w:rsid w:val="62DD7D21"/>
    <w:rsid w:val="63143A0E"/>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6A0B33"/>
    <w:rsid w:val="669B4528"/>
    <w:rsid w:val="66CC12D7"/>
    <w:rsid w:val="66EF0F16"/>
    <w:rsid w:val="67134CEF"/>
    <w:rsid w:val="671F1ABD"/>
    <w:rsid w:val="67521A59"/>
    <w:rsid w:val="67A3459A"/>
    <w:rsid w:val="67C304AB"/>
    <w:rsid w:val="683F0658"/>
    <w:rsid w:val="689C6793"/>
    <w:rsid w:val="68DB0208"/>
    <w:rsid w:val="68FB170C"/>
    <w:rsid w:val="691B3D98"/>
    <w:rsid w:val="693748F0"/>
    <w:rsid w:val="69846A0E"/>
    <w:rsid w:val="69AA1366"/>
    <w:rsid w:val="69AD798C"/>
    <w:rsid w:val="69D005C0"/>
    <w:rsid w:val="69D80B96"/>
    <w:rsid w:val="6B68175F"/>
    <w:rsid w:val="6B7466AF"/>
    <w:rsid w:val="6BFD799F"/>
    <w:rsid w:val="6C040EDB"/>
    <w:rsid w:val="6C4A2E5A"/>
    <w:rsid w:val="6C8138D0"/>
    <w:rsid w:val="6CEF0725"/>
    <w:rsid w:val="6D4B2604"/>
    <w:rsid w:val="6D8030E4"/>
    <w:rsid w:val="6E0E35C4"/>
    <w:rsid w:val="6E0F7A08"/>
    <w:rsid w:val="6E3947F5"/>
    <w:rsid w:val="6E6F774A"/>
    <w:rsid w:val="6E81414B"/>
    <w:rsid w:val="6E9C74ED"/>
    <w:rsid w:val="6EF72976"/>
    <w:rsid w:val="6F795A80"/>
    <w:rsid w:val="6F7C1D2E"/>
    <w:rsid w:val="6F8E0407"/>
    <w:rsid w:val="6FA52112"/>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957CF"/>
    <w:rsid w:val="748D790E"/>
    <w:rsid w:val="749820CC"/>
    <w:rsid w:val="74CE04EC"/>
    <w:rsid w:val="74E76DCD"/>
    <w:rsid w:val="74F63508"/>
    <w:rsid w:val="751D7C0A"/>
    <w:rsid w:val="75722D56"/>
    <w:rsid w:val="75DB5477"/>
    <w:rsid w:val="75FC6AC3"/>
    <w:rsid w:val="7616619B"/>
    <w:rsid w:val="76660D7C"/>
    <w:rsid w:val="766C5968"/>
    <w:rsid w:val="767938F0"/>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B9D1310"/>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qFormat/>
    <w:uiPriority w:val="0"/>
    <w:rPr>
      <w:b/>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 w:type="paragraph" w:customStyle="1" w:styleId="15">
    <w:name w:val="Heading3"/>
    <w:basedOn w:val="1"/>
    <w:next w:val="1"/>
    <w:qFormat/>
    <w:uiPriority w:val="0"/>
    <w:pPr>
      <w:keepNext/>
      <w:keepLines/>
      <w:spacing w:before="260" w:after="260" w:line="416" w:lineRule="auto"/>
      <w:textAlignment w:val="baseline"/>
    </w:pPr>
    <w:rPr>
      <w:rFonts w:ascii="Calibri" w:hAnsi="Calibri" w:eastAsia="宋体"/>
      <w:b/>
      <w:bCs/>
      <w:szCs w:val="32"/>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9.png"/><Relationship Id="rId13" Type="http://schemas.openxmlformats.org/officeDocument/2006/relationships/image" Target="media/image8.png"/><Relationship Id="rId12" Type="http://schemas.openxmlformats.org/officeDocument/2006/relationships/image" Target="media/image7.png"/><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32</Pages>
  <Words>6480</Words>
  <Characters>20825</Characters>
  <Lines>0</Lines>
  <Paragraphs>0</Paragraphs>
  <TotalTime>1</TotalTime>
  <ScaleCrop>false</ScaleCrop>
  <LinksUpToDate>false</LinksUpToDate>
  <CharactersWithSpaces>20937</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dcterms:modified xsi:type="dcterms:W3CDTF">2024-12-02T05:24:59Z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y fmtid="{D5CDD505-2E9C-101B-9397-08002B2CF9AE}" pid="3" name="ICV">
    <vt:lpwstr>D624B15633CD43C8BF9435464A96BF70</vt:lpwstr>
  </property>
</Properties>
</file>