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库尔勒市科学技术协会</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贯彻落实《科学技术普及法》、《新疆维吾尔自治区科学 技术普及条件》、《新疆维吾尔自治区科学技术协会条例》、《全 民科学素质行动计划纲要》，开展学术交流和学术研究，组织开 展“全国科普日”、科技活动周、科技三下乡等科普活动，组织开展“科技之冬”、青少年科技创新大赛等活动，牵头实施《全 民科学素质行动计划纲要》，反映科技工作者的意见和要求，维护科技工作者的合法权益，宣传、表彰、举荐优秀科技工作者，开展经济、科技、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社会事业等方面科学研究，参与科学论证、决策咨询，组织开展“基层科普行动计划项目”的实施，对全市各类科普团体进行管理和业务指导，开展继续教育和培训等</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库尔勒市科学技术协会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单位无下属预算单位，下设2个处室，分别是：行政办公室、综合业务科室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93.36万元，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93.36万元，使用非财政拨款结余0.00万元，年初结转和结余0.00万元。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93.36万元，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93.36万元，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增加31.62万元</w:t>
      </w:r>
      <w:r>
        <w:rPr>
          <w:rFonts w:hint="eastAsia" w:ascii="仿宋_GB2312" w:eastAsia="仿宋_GB2312"/>
          <w:color w:val="auto"/>
          <w:spacing w:val="0"/>
          <w:sz w:val="32"/>
          <w:szCs w:val="32"/>
          <w:highlight w:val="none"/>
          <w:lang w:eastAsia="zh-CN"/>
        </w:rPr>
        <w:t>，增长51.2</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eastAsia="zh-CN"/>
        </w:rPr>
        <w:t>%，主要原因是：本年度增加人员经费、相应的运行经费。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93.36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93.36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本年支出93.36万元，其中：基本支出83.23万元，占89.15%；项目支出10.13万元，占10.85%；上缴上级支出0.00万元，占0.00%；经营支出0.00万元，占0.00%；对附属单位补助支出0.00万元，占0.00%。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93.36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93.36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93.36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93.36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增加31.62万元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增长51.21%,</w:t>
      </w:r>
      <w:r>
        <w:rPr>
          <w:rFonts w:hint="eastAsia" w:ascii="仿宋_GB2312" w:eastAsia="仿宋_GB2312"/>
          <w:color w:val="auto"/>
          <w:spacing w:val="0"/>
          <w:sz w:val="32"/>
          <w:szCs w:val="32"/>
          <w:highlight w:val="none"/>
          <w:lang w:eastAsia="zh-CN"/>
        </w:rPr>
        <w:t>主要原因是：本年度发放了2020年绩效奖，发放抚恤金、项目</w:t>
      </w:r>
      <w:r>
        <w:rPr>
          <w:rFonts w:hint="eastAsia" w:ascii="仿宋_GB2312" w:eastAsia="仿宋_GB2312"/>
          <w:color w:val="auto"/>
          <w:spacing w:val="0"/>
          <w:sz w:val="32"/>
          <w:szCs w:val="32"/>
          <w:highlight w:val="none"/>
          <w:lang w:val="en-US" w:eastAsia="zh-CN"/>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509.00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93.36</w:t>
      </w:r>
      <w:r>
        <w:rPr>
          <w:rFonts w:hint="eastAsia" w:ascii="仿宋_GB2312" w:eastAsia="仿宋_GB2312"/>
          <w:color w:val="auto"/>
          <w:spacing w:val="0"/>
          <w:sz w:val="32"/>
          <w:szCs w:val="32"/>
          <w:highlight w:val="none"/>
          <w:lang w:eastAsia="zh-CN"/>
        </w:rPr>
        <w:t>万元，预决算差异率-81.66%，主要原因是：厉行节约，精简其他各项办公支出。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2023年度一般公共预算财政拨款支出93.36万元，占本年支出合计的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增加31.62万元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增长51.21%,</w:t>
      </w:r>
      <w:r>
        <w:rPr>
          <w:rFonts w:hint="eastAsia" w:ascii="仿宋_GB2312" w:eastAsia="仿宋_GB2312"/>
          <w:color w:val="auto"/>
          <w:spacing w:val="0"/>
          <w:sz w:val="32"/>
          <w:szCs w:val="32"/>
          <w:highlight w:val="none"/>
          <w:lang w:eastAsia="zh-CN"/>
        </w:rPr>
        <w:t>主要原因是：本年度发放了2020年绩效奖，发放抚恤金、项目增加。与年初预算相比，年初预算数</w:t>
      </w:r>
      <w:r>
        <w:rPr>
          <w:rFonts w:hint="eastAsia" w:ascii="仿宋_GB2312" w:eastAsia="仿宋_GB2312"/>
          <w:color w:val="auto"/>
          <w:spacing w:val="0"/>
          <w:sz w:val="32"/>
          <w:szCs w:val="32"/>
          <w:highlight w:val="none"/>
          <w:lang w:val="zh-CN" w:eastAsia="zh-CN"/>
        </w:rPr>
        <w:t>509.00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93.36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-81.66%</w:t>
      </w:r>
      <w:r>
        <w:rPr>
          <w:rFonts w:hint="eastAsia" w:ascii="仿宋_GB2312" w:eastAsia="仿宋_GB2312"/>
          <w:color w:val="auto"/>
          <w:spacing w:val="0"/>
          <w:sz w:val="32"/>
          <w:szCs w:val="32"/>
          <w:highlight w:val="none"/>
          <w:lang w:eastAsia="zh-CN"/>
        </w:rPr>
        <w:t>，主要原因是：厉行节约，精简其他各项办公支出。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93.36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1.科学技术支出（类）科学技术管理事务（款）行政运行（项）:支出决算数为83.23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34.82%，主要原因是：</w:t>
      </w:r>
      <w:r>
        <w:rPr>
          <w:rFonts w:hint="eastAsia" w:ascii="Times New Roman" w:hAnsi="Times New Roman" w:eastAsia="仿宋_GB2312" w:cs="Times New Roman"/>
          <w:color w:val="auto"/>
          <w:kern w:val="2"/>
          <w:sz w:val="32"/>
          <w:szCs w:val="32"/>
          <w:highlight w:val="none"/>
          <w:lang w:val="zh-CN" w:eastAsia="zh-CN" w:bidi="ar-SA"/>
        </w:rPr>
        <w:t>增长51.23%,主要原因是：本年度发放了2020年绩效奖，发放抚恤金、项目增加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2.科学技术支出（类）科学技术普及（款）科普活动（项）:支出决算数为10.13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Times New Roman" w:hAnsi="Times New Roman" w:eastAsia="仿宋_GB2312" w:cs="Times New Roman"/>
          <w:color w:val="auto"/>
          <w:kern w:val="2"/>
          <w:sz w:val="32"/>
          <w:szCs w:val="32"/>
          <w:highlight w:val="none"/>
          <w:lang w:val="zh-CN" w:eastAsia="zh-CN" w:bidi="ar-SA"/>
        </w:rPr>
        <w:t>因疫情原因</w:t>
      </w:r>
      <w:r>
        <w:rPr>
          <w:rFonts w:hint="eastAsia"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2022 年度未安排此科目的预算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83.23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80.02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基本工资、津贴补贴、奖金、机关事业单位基本养老保险缴费、职工基本医疗保险缴费、公务员医疗补助缴费、其他社会保障缴费、住房公积金、其他工资福利支出、退休费、抚恤金、医疗费补助。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“三公”经费支出2.34万元，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增加1.94万元，</w:t>
      </w:r>
      <w:r>
        <w:rPr>
          <w:rFonts w:hint="eastAsia" w:ascii="仿宋_GB2312" w:eastAsia="仿宋_GB2312"/>
          <w:color w:val="auto"/>
          <w:spacing w:val="0"/>
          <w:sz w:val="32"/>
          <w:szCs w:val="32"/>
          <w:highlight w:val="none"/>
          <w:lang w:val="en-US" w:eastAsia="zh-CN"/>
        </w:rPr>
        <w:t>增长485.00%,</w:t>
      </w:r>
      <w:r>
        <w:rPr>
          <w:rFonts w:hint="eastAsia" w:ascii="仿宋_GB2312" w:eastAsia="仿宋_GB2312"/>
          <w:color w:val="auto"/>
          <w:sz w:val="32"/>
          <w:szCs w:val="32"/>
          <w:highlight w:val="none"/>
          <w:lang w:val="zh-CN" w:eastAsia="zh-CN"/>
        </w:rPr>
        <w:t>主要原因是：2022年受疫情影响，“三公”经费</w:t>
      </w:r>
      <w:r>
        <w:rPr>
          <w:rFonts w:hint="eastAsia" w:ascii="仿宋_GB2312" w:eastAsia="仿宋_GB2312"/>
          <w:color w:val="auto"/>
          <w:sz w:val="32"/>
          <w:szCs w:val="32"/>
          <w:highlight w:val="none"/>
          <w:lang w:val="en-US" w:eastAsia="zh-CN"/>
        </w:rPr>
        <w:t>支付率低，本年恢复正常</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主要原因是：我单位无因公出国（境）费；公务用车购置及运行维护费支出2.34万元，占100.00%，比上年增加1.94万元，</w:t>
      </w:r>
      <w:r>
        <w:rPr>
          <w:rFonts w:hint="eastAsia" w:ascii="仿宋_GB2312" w:eastAsia="仿宋_GB2312"/>
          <w:color w:val="auto"/>
          <w:spacing w:val="0"/>
          <w:sz w:val="32"/>
          <w:szCs w:val="32"/>
          <w:highlight w:val="none"/>
          <w:lang w:val="en-US" w:eastAsia="zh-CN"/>
        </w:rPr>
        <w:t>增长485.00%,</w:t>
      </w:r>
      <w:r>
        <w:rPr>
          <w:rFonts w:hint="eastAsia" w:ascii="仿宋_GB2312" w:eastAsia="仿宋_GB2312"/>
          <w:color w:val="auto"/>
          <w:sz w:val="32"/>
          <w:szCs w:val="32"/>
          <w:highlight w:val="none"/>
          <w:lang w:val="zh-CN" w:eastAsia="zh-CN"/>
        </w:rPr>
        <w:t>主要原因是：2022年受疫情影响，“三公”经费支付率低，本年恢复正常；公务接待费支出0.00万元，占0.00%，比上年增加0.00万元，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因公出国（境）费支出0.00万元，开支内容包括本年度未安排因公出国（境）费支出，无开支内容。单位全年安排的因公出国（境）团组0个，因公出国（境）0人次。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2.34万元，其中：公务用车购置费0.00万元，公务用车运行维护费2.34万元。公务用车运行维护费开支内容包括车辆保险、燃油费、维修费等。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原因是：国有资产占用情况中固定资产车辆与公务用车保有量一致，无差异。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公务接待费0.00万元，开支内容包括本年度未安排公务接待费支出，无开支内容。单位全年安排的国内公务接待0批次，0人次。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预算数2.34万元，决算数2.34万元，预决算差异率0.00%，主要原因是：严格控制三公经费，厉行节约。其中：因公出国（境）费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预算数2.34万元，决算数2.34万元，预决算差异率0.00%，主要原因是：严格控制三公经费，厉行节约；公务接待费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库尔勒市科学技术协会（行政单位和参照公务员法管理事业单位）机关运行经费支出3.21万元，</w:t>
      </w:r>
      <w:r>
        <w:rPr>
          <w:rFonts w:hint="eastAsia" w:ascii="Times New Roman" w:hAnsi="Times New Roman" w:eastAsia="仿宋_GB2312" w:cs="Times New Roman"/>
          <w:color w:val="auto"/>
          <w:sz w:val="32"/>
          <w:szCs w:val="32"/>
          <w:highlight w:val="none"/>
          <w:lang w:val="zh-CN" w:eastAsia="zh-CN"/>
        </w:rPr>
        <w:t>比上年减少1.01万元，下降23.</w:t>
      </w:r>
      <w:r>
        <w:rPr>
          <w:rFonts w:hint="eastAsia" w:eastAsia="仿宋_GB2312" w:cs="Times New Roman"/>
          <w:color w:val="auto"/>
          <w:sz w:val="32"/>
          <w:szCs w:val="32"/>
          <w:highlight w:val="none"/>
          <w:lang w:val="en-US" w:eastAsia="zh-CN"/>
        </w:rPr>
        <w:t>93</w:t>
      </w:r>
      <w:r>
        <w:rPr>
          <w:rFonts w:hint="eastAsia" w:ascii="Times New Roman" w:hAnsi="Times New Roman" w:eastAsia="仿宋_GB2312" w:cs="Times New Roman"/>
          <w:color w:val="auto"/>
          <w:sz w:val="32"/>
          <w:szCs w:val="32"/>
          <w:highlight w:val="none"/>
          <w:lang w:val="zh-CN" w:eastAsia="zh-CN"/>
        </w:rPr>
        <w:t>%，主要原因是：厉行节约，减少开支</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0.25万元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其中：政府采购货物支出0.00万元、政府采购工程支出0.00万元、政府采购服务支出0.25万元。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授予中小企业合同金额0.25万元，占政府采购支出总额的100.00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，其中：授予小微企业合同金额0.25万元，占政府采购支出总额的100.00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74.68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屋0.00平方米，价值0.00万元。车辆1辆，价值24.62万元，其中：副部（省）级及以上领导用车0辆、主要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用车0辆、其他用车1辆，其他用车主要是：公务用车；单价100万元（含）以上设备（不含车辆）0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预算总额93.36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实际执行总额93.36</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全年执行数10.13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bookmarkStart w:id="46" w:name="_Toc7643"/>
      <w:bookmarkStart w:id="47" w:name="_Toc5453"/>
      <w:r>
        <w:rPr>
          <w:rFonts w:hint="eastAsia" w:ascii="黑体" w:hAnsi="黑体" w:eastAsia="仿宋_GB2312" w:cs="宋体"/>
          <w:bCs/>
          <w:color w:val="auto"/>
          <w:w w:val="90"/>
          <w:kern w:val="0"/>
          <w:sz w:val="32"/>
          <w:szCs w:val="32"/>
          <w:highlight w:val="none"/>
        </w:rPr>
        <w:t>八、《政府性基金预算财政拨款收入支出决算表》</w:t>
      </w:r>
      <w:bookmarkEnd w:id="46"/>
      <w:bookmarkEnd w:id="47"/>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76" w:firstLineChars="200"/>
        <w:jc w:val="both"/>
        <w:textAlignment w:val="auto"/>
        <w:outlineLvl w:val="1"/>
        <w:rPr>
          <w:rFonts w:hint="eastAsia" w:ascii="黑体" w:hAnsi="黑体" w:eastAsia="仿宋_GB2312" w:cs="宋体"/>
          <w:bCs/>
          <w:color w:val="auto"/>
          <w:w w:val="90"/>
          <w:kern w:val="0"/>
          <w:sz w:val="32"/>
          <w:szCs w:val="32"/>
          <w:highlight w:val="none"/>
          <w:lang w:eastAsia="zh-CN"/>
        </w:rPr>
      </w:pPr>
      <w:r>
        <w:rPr>
          <w:rFonts w:hint="eastAsia" w:ascii="黑体" w:hAnsi="黑体" w:eastAsia="仿宋_GB2312" w:cs="宋体"/>
          <w:bCs/>
          <w:color w:val="auto"/>
          <w:w w:val="90"/>
          <w:kern w:val="0"/>
          <w:sz w:val="32"/>
          <w:szCs w:val="32"/>
          <w:highlight w:val="none"/>
          <w:lang w:val="en-US" w:eastAsia="zh-CN"/>
        </w:rPr>
        <w:t>九</w:t>
      </w:r>
      <w:r>
        <w:rPr>
          <w:rFonts w:hint="eastAsia" w:ascii="黑体" w:hAnsi="黑体" w:eastAsia="仿宋_GB2312" w:cs="宋体"/>
          <w:bCs/>
          <w:color w:val="auto"/>
          <w:w w:val="90"/>
          <w:kern w:val="0"/>
          <w:sz w:val="32"/>
          <w:szCs w:val="32"/>
          <w:highlight w:val="none"/>
        </w:rPr>
        <w:t>、《</w:t>
      </w:r>
      <w:r>
        <w:rPr>
          <w:rFonts w:hint="eastAsia" w:ascii="黑体" w:hAnsi="黑体" w:eastAsia="仿宋_GB2312" w:cs="宋体"/>
          <w:bCs/>
          <w:color w:val="auto"/>
          <w:w w:val="90"/>
          <w:kern w:val="0"/>
          <w:sz w:val="32"/>
          <w:szCs w:val="32"/>
          <w:highlight w:val="none"/>
          <w:lang w:eastAsia="zh-CN"/>
        </w:rPr>
        <w:t>国有资本经营</w:t>
      </w:r>
      <w:r>
        <w:rPr>
          <w:rFonts w:hint="eastAsia" w:ascii="黑体" w:hAnsi="黑体" w:eastAsia="仿宋_GB2312" w:cs="宋体"/>
          <w:bCs/>
          <w:color w:val="auto"/>
          <w:w w:val="90"/>
          <w:kern w:val="0"/>
          <w:sz w:val="32"/>
          <w:szCs w:val="32"/>
          <w:highlight w:val="none"/>
        </w:rPr>
        <w:t>预算财政拨款收入支出决算表》</w:t>
      </w:r>
      <w:r>
        <w:rPr>
          <w:rFonts w:hint="eastAsia" w:ascii="黑体" w:hAnsi="黑体" w:eastAsia="仿宋_GB2312" w:cs="宋体"/>
          <w:bCs/>
          <w:color w:val="auto"/>
          <w:w w:val="90"/>
          <w:kern w:val="0"/>
          <w:sz w:val="32"/>
          <w:szCs w:val="32"/>
          <w:highlight w:val="none"/>
          <w:lang w:eastAsia="zh-CN"/>
        </w:rPr>
        <w:t>（</w:t>
      </w:r>
      <w:r>
        <w:rPr>
          <w:rFonts w:hint="eastAsia" w:ascii="黑体" w:hAnsi="黑体" w:eastAsia="仿宋_GB2312" w:cs="宋体"/>
          <w:bCs/>
          <w:color w:val="auto"/>
          <w:w w:val="90"/>
          <w:kern w:val="0"/>
          <w:sz w:val="32"/>
          <w:szCs w:val="32"/>
          <w:highlight w:val="none"/>
          <w:lang w:val="en-US" w:eastAsia="zh-CN"/>
        </w:rPr>
        <w:t>空表</w:t>
      </w:r>
      <w:r>
        <w:rPr>
          <w:rFonts w:hint="eastAsia" w:ascii="黑体" w:hAnsi="黑体" w:eastAsia="仿宋_GB2312" w:cs="宋体"/>
          <w:bCs/>
          <w:color w:val="auto"/>
          <w:w w:val="90"/>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-381000</wp:posOffset>
            </wp:positionH>
            <wp:positionV relativeFrom="paragraph">
              <wp:posOffset>62230</wp:posOffset>
            </wp:positionV>
            <wp:extent cx="6275705" cy="7649210"/>
            <wp:effectExtent l="0" t="0" r="10795" b="889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275705" cy="764921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-409575</wp:posOffset>
            </wp:positionH>
            <wp:positionV relativeFrom="paragraph">
              <wp:posOffset>17145</wp:posOffset>
            </wp:positionV>
            <wp:extent cx="6163945" cy="4759960"/>
            <wp:effectExtent l="0" t="0" r="8255" b="254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6163945" cy="47599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-285750</wp:posOffset>
            </wp:positionH>
            <wp:positionV relativeFrom="paragraph">
              <wp:posOffset>24765</wp:posOffset>
            </wp:positionV>
            <wp:extent cx="5986145" cy="3986530"/>
            <wp:effectExtent l="0" t="0" r="14605" b="1397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986145" cy="39865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-314325</wp:posOffset>
            </wp:positionH>
            <wp:positionV relativeFrom="page">
              <wp:posOffset>657225</wp:posOffset>
            </wp:positionV>
            <wp:extent cx="6110605" cy="8677275"/>
            <wp:effectExtent l="0" t="0" r="4445" b="9525"/>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110605" cy="86772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3360" behindDoc="0" locked="0" layoutInCell="1" allowOverlap="1">
            <wp:simplePos x="0" y="0"/>
            <wp:positionH relativeFrom="column">
              <wp:posOffset>-476250</wp:posOffset>
            </wp:positionH>
            <wp:positionV relativeFrom="paragraph">
              <wp:posOffset>3810</wp:posOffset>
            </wp:positionV>
            <wp:extent cx="6176010" cy="4991100"/>
            <wp:effectExtent l="0" t="0" r="15240" b="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6176010" cy="49911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48" w:name="_GoBack"/>
      <w:bookmarkEnd w:id="48"/>
      <w:r>
        <w:drawing>
          <wp:anchor distT="0" distB="0" distL="114300" distR="114300" simplePos="0" relativeHeight="251667456" behindDoc="0" locked="0" layoutInCell="1" allowOverlap="1">
            <wp:simplePos x="0" y="0"/>
            <wp:positionH relativeFrom="column">
              <wp:posOffset>-447675</wp:posOffset>
            </wp:positionH>
            <wp:positionV relativeFrom="paragraph">
              <wp:posOffset>-74295</wp:posOffset>
            </wp:positionV>
            <wp:extent cx="6384925" cy="8630285"/>
            <wp:effectExtent l="0" t="0" r="15875" b="18415"/>
            <wp:wrapSquare wrapText="bothSides"/>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0"/>
                    <a:stretch>
                      <a:fillRect/>
                    </a:stretch>
                  </pic:blipFill>
                  <pic:spPr>
                    <a:xfrm>
                      <a:off x="0" y="0"/>
                      <a:ext cx="6384925" cy="863028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4384" behindDoc="0" locked="0" layoutInCell="1" allowOverlap="1">
            <wp:simplePos x="0" y="0"/>
            <wp:positionH relativeFrom="column">
              <wp:posOffset>-571500</wp:posOffset>
            </wp:positionH>
            <wp:positionV relativeFrom="paragraph">
              <wp:posOffset>110490</wp:posOffset>
            </wp:positionV>
            <wp:extent cx="6534150" cy="3212465"/>
            <wp:effectExtent l="0" t="0" r="0" b="6985"/>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6534150" cy="32124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5408" behindDoc="0" locked="0" layoutInCell="1" allowOverlap="1">
            <wp:simplePos x="0" y="0"/>
            <wp:positionH relativeFrom="column">
              <wp:posOffset>-466725</wp:posOffset>
            </wp:positionH>
            <wp:positionV relativeFrom="paragraph">
              <wp:posOffset>53340</wp:posOffset>
            </wp:positionV>
            <wp:extent cx="6449695" cy="3214370"/>
            <wp:effectExtent l="0" t="0" r="8255" b="508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6449695" cy="32143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-361950</wp:posOffset>
            </wp:positionH>
            <wp:positionV relativeFrom="paragraph">
              <wp:posOffset>-41910</wp:posOffset>
            </wp:positionV>
            <wp:extent cx="6188075" cy="3255010"/>
            <wp:effectExtent l="0" t="0" r="3175" b="254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6188075" cy="325501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39665E"/>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BE53AA"/>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807301"/>
    <w:rsid w:val="63A5560B"/>
    <w:rsid w:val="63E9091F"/>
    <w:rsid w:val="64322AF9"/>
    <w:rsid w:val="64D6010D"/>
    <w:rsid w:val="64D82665"/>
    <w:rsid w:val="64E47C96"/>
    <w:rsid w:val="651E5741"/>
    <w:rsid w:val="658A4877"/>
    <w:rsid w:val="65A00902"/>
    <w:rsid w:val="65AC6EDD"/>
    <w:rsid w:val="65D01365"/>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33E16"/>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5</TotalTime>
  <ScaleCrop>false</ScaleCrop>
  <LinksUpToDate>false</LinksUpToDate>
  <CharactersWithSpaces>20832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2024-10-30T09:36:59Z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D624B15633CD43C8BF9435464A96BF70</vt:lpwstr>
  </property>
</Properties>
</file>