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库尔勒市科学技术协会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负责组织举办常设性和临时性的科普活动或展览；组织 科普 专题报告会、讲座、影视等教育活动；组织面向青少年的科学实验 和科技竞技比赛等活动；收集和贮存科普展览的 有关资料及实物， 设计、制作和布置展览，组织并辅导公众参观展览；组织面向公众 的各种类型的科技培训；组织开展青少年科技教育研究活动和宣传 活动；负责上级或其他单位委托的各种工作任务。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库尔勒市科学技术协会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决算单位构成看，库尔勒市科学技术协会部门决算包括：库尔勒市科学技术协会本级决算</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所属单位决算。</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库尔勒市科学技术协会</w:t>
      </w:r>
      <w:r>
        <w:rPr>
          <w:rFonts w:hint="eastAsia" w:ascii="仿宋_GB2312" w:eastAsia="仿宋_GB2312"/>
          <w:color w:val="auto"/>
          <w:sz w:val="32"/>
          <w:szCs w:val="32"/>
          <w:highlight w:val="none"/>
          <w:lang w:val="en-US" w:eastAsia="zh-CN"/>
        </w:rPr>
        <w:t>本级</w:t>
      </w:r>
      <w:r>
        <w:rPr>
          <w:rFonts w:hint="eastAsia" w:ascii="仿宋_GB2312" w:eastAsia="仿宋_GB2312"/>
          <w:color w:val="auto"/>
          <w:sz w:val="32"/>
          <w:szCs w:val="32"/>
          <w:highlight w:val="none"/>
        </w:rPr>
        <w:t>下设2个处室，分别是：行政办公室、综合业务科室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纳入库尔勒市科学技术协会</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z w:val="32"/>
          <w:szCs w:val="32"/>
          <w:highlight w:val="none"/>
        </w:rPr>
        <w:t>库尔勒市科学技术协会</w:t>
      </w:r>
      <w:r>
        <w:rPr>
          <w:rFonts w:hint="eastAsia" w:ascii="仿宋_GB2312" w:hAnsi="宋体" w:eastAsia="仿宋_GB2312" w:cs="宋体"/>
          <w:color w:val="auto"/>
          <w:kern w:val="0"/>
          <w:sz w:val="32"/>
          <w:szCs w:val="32"/>
          <w:highlight w:val="none"/>
        </w:rPr>
        <w:t>（单位）</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库尔勒市科学技术馆</w:t>
      </w:r>
    </w:p>
    <w:p>
      <w:pPr>
        <w:keepNext w:val="0"/>
        <w:keepLines w:val="0"/>
        <w:pageBreakBefore w:val="0"/>
        <w:widowControl w:val="0"/>
        <w:numPr>
          <w:ilvl w:val="0"/>
          <w:numId w:val="0"/>
        </w:numPr>
        <w:kinsoku/>
        <w:wordWrap/>
        <w:overflowPunct/>
        <w:topLinePunct w:val="0"/>
        <w:bidi w:val="0"/>
        <w:adjustRightInd/>
        <w:snapToGrid/>
        <w:spacing w:line="240" w:lineRule="auto"/>
        <w:textAlignment w:val="auto"/>
        <w:rPr>
          <w:rFonts w:hint="default" w:ascii="仿宋_GB2312" w:eastAsia="仿宋_GB2312"/>
          <w:color w:val="auto"/>
          <w:spacing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514.51万元，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514.51万元，使用非财政拨款结余0.00万元，年初结转和结余0.00万元。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514.51万元，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514.51万元，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减少34.69</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下降6.32</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主要原因是：本年项目支出减少。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514.51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514.51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本年支出514.51万元，其中：基本支出504.38万元，占98.03%；项目支出10.13万元，占1.97%；上缴上级支出0.00万元，占0.00%；经营支出0.00万元，占0.00%；对附属单位补助支出0.00万元，占0.00%。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514.51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514.51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514.51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514.51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,减少34.69</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下降6.32</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主要原因是：本年项目支出减少。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952.26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514.51</w:t>
      </w:r>
      <w:r>
        <w:rPr>
          <w:rFonts w:hint="eastAsia" w:ascii="仿宋_GB2312" w:eastAsia="仿宋_GB2312"/>
          <w:color w:val="auto"/>
          <w:spacing w:val="0"/>
          <w:sz w:val="32"/>
          <w:szCs w:val="32"/>
          <w:highlight w:val="none"/>
          <w:lang w:eastAsia="zh-CN"/>
        </w:rPr>
        <w:t>万元，预决算差异率-45.97%，主要原因是：厉行节约，精简其他各项办公支出</w:t>
      </w:r>
      <w:r>
        <w:rPr>
          <w:rFonts w:hint="eastAsia" w:ascii="仿宋_GB2312" w:eastAsia="仿宋_GB2312"/>
          <w:color w:val="auto"/>
          <w:spacing w:val="0"/>
          <w:sz w:val="32"/>
          <w:szCs w:val="32"/>
          <w:highlight w:val="none"/>
          <w:lang w:val="en-US" w:eastAsia="zh-CN"/>
        </w:rPr>
        <w:t>,本年度减少了基本建设类项目</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2023年度一般公共预算财政拨款支出514.51万元，占本年支出合计的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155.67</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增长43.38%,</w:t>
      </w:r>
      <w:r>
        <w:rPr>
          <w:rFonts w:hint="eastAsia" w:ascii="仿宋_GB2312" w:eastAsia="仿宋_GB2312"/>
          <w:color w:val="auto"/>
          <w:spacing w:val="0"/>
          <w:sz w:val="32"/>
          <w:szCs w:val="32"/>
          <w:highlight w:val="none"/>
          <w:lang w:eastAsia="zh-CN"/>
        </w:rPr>
        <w:t>主要原因是：本年度发放了2020年绩效奖，发放抚恤金、科普流动展费用增加。与年初预算相比，年初预算数</w:t>
      </w:r>
      <w:r>
        <w:rPr>
          <w:rFonts w:hint="eastAsia" w:ascii="仿宋_GB2312" w:eastAsia="仿宋_GB2312"/>
          <w:color w:val="auto"/>
          <w:spacing w:val="0"/>
          <w:sz w:val="32"/>
          <w:szCs w:val="32"/>
          <w:highlight w:val="none"/>
          <w:lang w:val="zh-CN" w:eastAsia="zh-CN"/>
        </w:rPr>
        <w:t>952.26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514.51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-45.97%</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主要原因是：</w:t>
      </w:r>
      <w:r>
        <w:rPr>
          <w:rFonts w:hint="eastAsia" w:ascii="仿宋_GB2312" w:eastAsia="仿宋_GB2312"/>
          <w:color w:val="auto"/>
          <w:spacing w:val="0"/>
          <w:sz w:val="32"/>
          <w:szCs w:val="32"/>
          <w:highlight w:val="none"/>
          <w:lang w:eastAsia="zh-CN"/>
        </w:rPr>
        <w:t>厉行节约，精简其他各项办公支出</w:t>
      </w:r>
      <w:r>
        <w:rPr>
          <w:rFonts w:hint="eastAsia" w:ascii="仿宋_GB2312" w:eastAsia="仿宋_GB2312"/>
          <w:color w:val="auto"/>
          <w:spacing w:val="0"/>
          <w:sz w:val="32"/>
          <w:szCs w:val="32"/>
          <w:highlight w:val="none"/>
          <w:lang w:val="en-US" w:eastAsia="zh-CN"/>
        </w:rPr>
        <w:t>,本年度减少了基本建设类项目</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0.21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514.30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99.96</w:t>
      </w:r>
      <w:r>
        <w:rPr>
          <w:rFonts w:hint="default" w:ascii="仿宋_GB2312" w:hAnsi="Times New Roman" w:eastAsia="仿宋_GB2312" w:cs="Times New Roman"/>
          <w:color w:val="auto"/>
          <w:spacing w:val="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1.教育支出（类）进修及培训（款）培训支出（项）:支出决算数为0.21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本年培训次数增加，导致较上年增加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2.科学技术支出（类）科学技术管理事务（款）行政运行（项）:支出决算数为83.23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34.82%，主要原因是：</w:t>
      </w:r>
      <w:r>
        <w:rPr>
          <w:rFonts w:hint="eastAsia" w:ascii="Times New Roman" w:hAnsi="Times New Roman" w:eastAsia="仿宋_GB2312" w:cs="Times New Roman"/>
          <w:color w:val="auto"/>
          <w:kern w:val="2"/>
          <w:sz w:val="32"/>
          <w:szCs w:val="32"/>
          <w:highlight w:val="none"/>
          <w:lang w:val="zh-CN" w:eastAsia="zh-CN" w:bidi="ar-SA"/>
        </w:rPr>
        <w:t>增长51.23%,主要原因是：本年度工资社保调增</w:t>
      </w:r>
      <w:r>
        <w:rPr>
          <w:rFonts w:hint="eastAsia"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发放了2020年绩效奖，发放抚恤金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.科学技术支出（类）科学技术普及（款）科普活动（项）:支出决算数为10.13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100%，主要原因是：因疫情原因，2022 年度未安排此科目的预算。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4.科学技术支出（类）科学技术普及（款）科技馆站（项）:支出决算数为420.95万元，比上年决算增加187.95万元，增长80.67%，主要原因</w:t>
      </w:r>
      <w:r>
        <w:rPr>
          <w:rFonts w:hint="eastAsia" w:ascii="Times New Roman" w:hAnsi="Times New Roman" w:eastAsia="仿宋_GB2312" w:cs="Times New Roman"/>
          <w:color w:val="auto"/>
          <w:kern w:val="2"/>
          <w:sz w:val="32"/>
          <w:szCs w:val="32"/>
          <w:highlight w:val="none"/>
          <w:lang w:val="en-US" w:eastAsia="zh-CN" w:bidi="ar-SA"/>
        </w:rPr>
        <w:t>是：</w:t>
      </w:r>
      <w:r>
        <w:rPr>
          <w:rFonts w:hint="eastAsia" w:eastAsia="仿宋_GB2312" w:cs="Times New Roman"/>
          <w:color w:val="auto"/>
          <w:kern w:val="2"/>
          <w:sz w:val="32"/>
          <w:szCs w:val="32"/>
          <w:highlight w:val="none"/>
          <w:lang w:val="en-US" w:eastAsia="zh-CN" w:bidi="ar-SA"/>
        </w:rPr>
        <w:t>本年度</w:t>
      </w:r>
      <w:r>
        <w:rPr>
          <w:rFonts w:hint="eastAsia" w:eastAsia="仿宋_GB2312" w:cs="Times New Roman"/>
          <w:color w:val="auto"/>
          <w:kern w:val="2"/>
          <w:sz w:val="32"/>
          <w:szCs w:val="32"/>
          <w:highlight w:val="none"/>
          <w:lang w:val="zh-CN" w:eastAsia="zh-CN" w:bidi="ar-SA"/>
        </w:rPr>
        <w:t>增加科普流动展费用。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.一般公共服务支出（类）组织事务（款）其他组织事务支出（项）:支出决算数为0.00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本年度减少了工作队经费的支出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.科学技术支出（类）基础研究（款）自然科学基金（项）:支出决算数为0.00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100%，主要原因是：本年度</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《创新决胜未来》主题展览布展经费项目支出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.科学技术支出（类）科学技术普及（款）其他科学技术普及支出（项）:支出决算数为0.00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8.00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100%，主要原因是：是本年度</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科普活动项目支出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.科学技术支出（类）科学技术普及（款）科普活动（项）:支出决算数为0.00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100%，主要原因是：科普活动费用较上年减少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.科学技术支出（类）科技条件与服务（款）技术创新服务体系（项）:支出决算数为0.00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本年度未在该科目核算</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504.38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269.11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基本工资、津贴补贴、奖金、机关事业单位基本养老保险缴费、职工基本医疗保险缴费、公务员医疗补助缴费、其他社会保障缴费、住房公积金、其他工资福利支出、退休费、抚恤金、医疗费补助。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235.27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办公费、印刷费、咨询费、邮电费、维修（护）费、培训费、专用材料费、委托业务费、工会经费、公务用车运行维护费、办公设备购置。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“三公”经费支出2.34万元，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增加1.94万元，</w:t>
      </w:r>
      <w:r>
        <w:rPr>
          <w:rFonts w:hint="eastAsia" w:ascii="仿宋_GB2312" w:eastAsia="仿宋_GB2312"/>
          <w:color w:val="auto"/>
          <w:spacing w:val="0"/>
          <w:sz w:val="32"/>
          <w:szCs w:val="32"/>
          <w:highlight w:val="none"/>
          <w:lang w:val="en-US" w:eastAsia="zh-CN"/>
        </w:rPr>
        <w:t>增长485.00%,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上</w:t>
      </w:r>
      <w:r>
        <w:rPr>
          <w:rFonts w:hint="eastAsia" w:ascii="仿宋_GB2312" w:eastAsia="仿宋_GB2312"/>
          <w:color w:val="auto"/>
          <w:sz w:val="32"/>
          <w:szCs w:val="32"/>
          <w:highlight w:val="none"/>
          <w:lang w:val="zh-CN" w:eastAsia="zh-CN"/>
        </w:rPr>
        <w:t>年受疫情影响，“三公”经费</w:t>
      </w:r>
      <w:r>
        <w:rPr>
          <w:rFonts w:hint="eastAsia" w:ascii="仿宋_GB2312" w:eastAsia="仿宋_GB2312"/>
          <w:color w:val="auto"/>
          <w:sz w:val="32"/>
          <w:szCs w:val="32"/>
          <w:highlight w:val="none"/>
          <w:lang w:val="en-US" w:eastAsia="zh-CN"/>
        </w:rPr>
        <w:t>支付率低，本年恢复正常</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本部门</w:t>
      </w:r>
      <w:r>
        <w:rPr>
          <w:rFonts w:hint="eastAsia" w:ascii="仿宋_GB2312" w:eastAsia="仿宋_GB2312"/>
          <w:color w:val="auto"/>
          <w:sz w:val="32"/>
          <w:szCs w:val="32"/>
          <w:highlight w:val="none"/>
          <w:lang w:val="zh-CN" w:eastAsia="zh-CN"/>
        </w:rPr>
        <w:t>位无因公出国（境）费；公务用车购置及运行维护费支出2.34万元，占100.00%，</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增加1.94万元，</w:t>
      </w:r>
      <w:r>
        <w:rPr>
          <w:rFonts w:hint="eastAsia" w:ascii="仿宋_GB2312" w:eastAsia="仿宋_GB2312"/>
          <w:color w:val="auto"/>
          <w:spacing w:val="0"/>
          <w:sz w:val="32"/>
          <w:szCs w:val="32"/>
          <w:highlight w:val="none"/>
          <w:lang w:val="en-US" w:eastAsia="zh-CN"/>
        </w:rPr>
        <w:t>增长485.00%,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上</w:t>
      </w:r>
      <w:r>
        <w:rPr>
          <w:rFonts w:hint="eastAsia" w:ascii="仿宋_GB2312" w:eastAsia="仿宋_GB2312"/>
          <w:color w:val="auto"/>
          <w:sz w:val="32"/>
          <w:szCs w:val="32"/>
          <w:highlight w:val="none"/>
          <w:lang w:val="zh-CN" w:eastAsia="zh-CN"/>
        </w:rPr>
        <w:t>年受疫情影响，“三公”经费</w:t>
      </w:r>
      <w:r>
        <w:rPr>
          <w:rFonts w:hint="eastAsia" w:ascii="仿宋_GB2312" w:eastAsia="仿宋_GB2312"/>
          <w:color w:val="auto"/>
          <w:sz w:val="32"/>
          <w:szCs w:val="32"/>
          <w:highlight w:val="none"/>
          <w:lang w:val="en-US" w:eastAsia="zh-CN"/>
        </w:rPr>
        <w:t>支付率低，本年恢复正常</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本部门</w:t>
      </w:r>
      <w:r>
        <w:rPr>
          <w:rFonts w:hint="eastAsia" w:ascii="仿宋_GB2312" w:eastAsia="仿宋_GB2312"/>
          <w:color w:val="auto"/>
          <w:sz w:val="32"/>
          <w:szCs w:val="32"/>
          <w:highlight w:val="none"/>
          <w:lang w:val="zh-CN" w:eastAsia="zh-CN"/>
        </w:rPr>
        <w:t>位无公务接待费。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因公出国（境）费支出0.00万元，开支内容包括本年度未安排因公出国（境）费支出，无开支内容。单位全年安排的因公出国（境）团组0个，因公出国（境）0人次。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公务用车购置及运行维护费2.34万元，其中：公务用车购置费0.00万元，公务用车运行维护费2.34万元。公务用车运行维护费开支内容包括</w:t>
      </w:r>
      <w:r>
        <w:rPr>
          <w:rFonts w:hint="eastAsia" w:ascii="仿宋_GB2312" w:eastAsia="仿宋_GB2312"/>
          <w:color w:val="auto"/>
          <w:sz w:val="32"/>
          <w:szCs w:val="32"/>
          <w:highlight w:val="none"/>
          <w:lang w:val="en-US" w:eastAsia="zh-CN"/>
        </w:rPr>
        <w:t>车</w:t>
      </w:r>
      <w:r>
        <w:rPr>
          <w:rFonts w:hint="eastAsia" w:ascii="仿宋_GB2312" w:eastAsia="仿宋_GB2312"/>
          <w:color w:val="auto"/>
          <w:sz w:val="32"/>
          <w:szCs w:val="32"/>
          <w:highlight w:val="none"/>
          <w:lang w:val="zh-CN" w:eastAsia="zh-CN"/>
        </w:rPr>
        <w:t>辆保险、燃油费、维修费等。公务用车购置数0辆，公务用车保有量1辆。国有资产占用情况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科技馆国有资产占用情况中固定资产车辆为</w:t>
      </w:r>
      <w:r>
        <w:rPr>
          <w:rFonts w:hint="eastAsia" w:ascii="仿宋_GB2312" w:eastAsia="仿宋_GB2312"/>
          <w:color w:val="auto"/>
          <w:sz w:val="32"/>
          <w:szCs w:val="32"/>
          <w:highlight w:val="none"/>
          <w:lang w:val="zh-CN" w:eastAsia="zh-CN"/>
        </w:rPr>
        <w:t>科普宣传车辆。</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公务接待费0.00万元，开支内容包括本年度未安排公务接待费支出，无开支内容。单位全年安排的国内公务接待0批次，0人次。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预算数2.34万元，决算数2.34万元，预决算差异率0.00%，主要原因是：严格控制“三公”经费，厉行节约。其中：因公出国（境）费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本部门</w:t>
      </w:r>
      <w:r>
        <w:rPr>
          <w:rFonts w:hint="eastAsia" w:ascii="仿宋_GB2312" w:eastAsia="仿宋_GB2312"/>
          <w:color w:val="auto"/>
          <w:sz w:val="32"/>
          <w:szCs w:val="32"/>
          <w:highlight w:val="none"/>
          <w:lang w:val="zh-CN" w:eastAsia="zh-CN"/>
        </w:rPr>
        <w:t>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本部门</w:t>
      </w:r>
      <w:r>
        <w:rPr>
          <w:rFonts w:hint="eastAsia" w:ascii="仿宋_GB2312" w:eastAsia="仿宋_GB2312"/>
          <w:color w:val="auto"/>
          <w:sz w:val="32"/>
          <w:szCs w:val="32"/>
          <w:highlight w:val="none"/>
          <w:lang w:val="zh-CN" w:eastAsia="zh-CN"/>
        </w:rPr>
        <w:t>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预算数2.34万元，决算数2.34万元，预决算差异率0.00%，主要原因是：严格控制“三公”经费，厉行节约；公务接待费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本部门</w:t>
      </w:r>
      <w:r>
        <w:rPr>
          <w:rFonts w:hint="eastAsia" w:ascii="仿宋_GB2312" w:eastAsia="仿宋_GB2312"/>
          <w:color w:val="auto"/>
          <w:sz w:val="32"/>
          <w:szCs w:val="32"/>
          <w:highlight w:val="none"/>
          <w:lang w:val="zh-CN" w:eastAsia="zh-CN"/>
        </w:rPr>
        <w:t>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2023年度政府性基金预算财政拨款收入总计0.00万元，其中：年初结转和结余0.00万元，本年收入0.00万元。政府性基金预算财政拨款支出总计0.00万元，其中：年末结转和结余0.00万元，本年支出0.00万元。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政府性基金预算财政拨款收入支出与上年相比，减少190.36万元,下降100.00%,主要原因是：</w:t>
      </w:r>
      <w:r>
        <w:rPr>
          <w:rFonts w:hint="eastAsia" w:ascii="仿宋_GB2312" w:eastAsia="仿宋_GB2312"/>
          <w:color w:val="auto"/>
          <w:sz w:val="32"/>
          <w:szCs w:val="32"/>
          <w:highlight w:val="none"/>
          <w:lang w:val="en-US" w:eastAsia="zh-CN"/>
        </w:rPr>
        <w:t>上年年中追加安排国</w:t>
      </w:r>
      <w:r>
        <w:rPr>
          <w:rFonts w:hint="eastAsia" w:ascii="仿宋_GB2312" w:eastAsia="仿宋_GB2312"/>
          <w:color w:val="auto"/>
          <w:sz w:val="32"/>
          <w:szCs w:val="32"/>
          <w:highlight w:val="none"/>
          <w:lang w:eastAsia="zh-CN"/>
        </w:rPr>
        <w:t>有土地使用权出让收入，</w:t>
      </w:r>
      <w:r>
        <w:rPr>
          <w:rFonts w:hint="eastAsia" w:ascii="仿宋_GB2312" w:eastAsia="仿宋_GB2312"/>
          <w:color w:val="auto"/>
          <w:sz w:val="32"/>
          <w:szCs w:val="32"/>
          <w:highlight w:val="none"/>
          <w:lang w:val="en-US" w:eastAsia="zh-CN"/>
        </w:rPr>
        <w:t>本年未安排，导致</w:t>
      </w:r>
      <w:r>
        <w:rPr>
          <w:rFonts w:hint="eastAsia" w:ascii="仿宋_GB2312" w:eastAsia="仿宋_GB2312"/>
          <w:color w:val="auto"/>
          <w:sz w:val="32"/>
          <w:szCs w:val="32"/>
          <w:highlight w:val="none"/>
          <w:lang w:eastAsia="zh-CN"/>
        </w:rPr>
        <w:t>政府性基金预算财政拨款收入</w:t>
      </w:r>
      <w:r>
        <w:rPr>
          <w:rFonts w:hint="eastAsia" w:ascii="仿宋_GB2312" w:eastAsia="仿宋_GB2312"/>
          <w:color w:val="auto"/>
          <w:sz w:val="32"/>
          <w:szCs w:val="32"/>
          <w:highlight w:val="none"/>
          <w:lang w:val="en-US" w:eastAsia="zh-CN"/>
        </w:rPr>
        <w:t>下降</w:t>
      </w:r>
      <w:r>
        <w:rPr>
          <w:rFonts w:hint="eastAsia" w:ascii="仿宋_GB2312" w:eastAsia="仿宋_GB2312"/>
          <w:color w:val="auto"/>
          <w:sz w:val="32"/>
          <w:szCs w:val="32"/>
          <w:highlight w:val="none"/>
          <w:lang w:eastAsia="zh-CN"/>
        </w:rPr>
        <w:t>。与年初预算相比,年初预算数0.00万元，决算数0.00万元，预决算差异率0.00%，主要原因是：</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政府性基金预算财政拨款支出0.00万元。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1.城乡社区支出（类）国有土地使用权出让收入安排的支出（款）其他国有土地使用权出让收入安排的支出（项）:支出决算数为0.00万元，比上年决算减少190.36万元，下降100%，主要原因是：上年年中追加安排国有土地使用权出让收入，本年未安排，导致政府性基金预算财政拨款</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eastAsia="zh-CN"/>
        </w:rPr>
        <w:t>下降。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（一）机关运行经费支出情况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2023年度库尔勒市科学技术协会（行政单位和参照公务员法管理事业单位）机关运行经费支出3.21万元，比上年减少1.01万元，下降23.93%，主要原因是：厉行节约，减少开支。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48" w:name="_GoBack"/>
      <w:bookmarkEnd w:id="48"/>
      <w:r>
        <w:rPr>
          <w:rFonts w:hint="eastAsia" w:ascii="Times New Roman" w:hAnsi="Times New Roman" w:eastAsia="仿宋_GB2312" w:cs="Times New Roman"/>
          <w:color w:val="auto"/>
          <w:sz w:val="32"/>
          <w:szCs w:val="32"/>
          <w:highlight w:val="none"/>
          <w:lang w:val="en-US" w:eastAsia="zh-CN"/>
        </w:rPr>
        <w:t>库尔勒市科学技术协会（事业单位）公用经费支出232.07万元，</w:t>
      </w:r>
      <w:r>
        <w:rPr>
          <w:rFonts w:hint="eastAsia" w:ascii="Times New Roman" w:hAnsi="Times New Roman" w:eastAsia="仿宋_GB2312" w:cs="Times New Roman"/>
          <w:color w:val="auto"/>
          <w:sz w:val="32"/>
          <w:szCs w:val="32"/>
          <w:highlight w:val="none"/>
          <w:lang w:val="zh-CN" w:eastAsia="zh-CN"/>
        </w:rPr>
        <w:t>比上年增加140.20万元，增长152.62%，主要原因是：本年度增加科普流动展费用</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109.76万元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其中：政府采购货物支出104.72万元、政府采购工程支出0.00万元、政府采购服务支出5.04万元。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授予中小企业合同金额106.15万元，占政府采购支出总额的96.71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，其中：授予小微企业合同金额5.64万元，占政府采购支出总额的5.14</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3,262.60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屋0.00平方米，价值0.00万元。车辆2辆，价值104.24万元，其中：副部（省）级及以上领导用车0辆、主要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用车0辆、其他用车2辆，其他用车主要是：公务用车</w:t>
      </w:r>
      <w:r>
        <w:rPr>
          <w:rFonts w:hint="eastAsia" w:eastAsia="仿宋_GB2312" w:cs="Times New Roman"/>
          <w:color w:val="auto"/>
          <w:sz w:val="32"/>
          <w:szCs w:val="32"/>
          <w:highlight w:val="none"/>
          <w:lang w:val="en-US" w:eastAsia="zh-CN"/>
        </w:rPr>
        <w:t>和科普宣传专用车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部门2023年度预算绩效管理整体支出绩效自评表0个，全年预算总额0万元，实际执行总额0万元；预算绩效评价项目3个，全年预算数13万元，全年执行数10.13万元。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仿宋_GB2312" w:hAnsi="仿宋_GB2312" w:eastAsia="仿宋_GB2312" w:cs="仿宋_GB2312"/>
          <w:color w:val="auto"/>
          <w:kern w:val="0"/>
          <w:sz w:val="32"/>
          <w:szCs w:val="32"/>
          <w:highlight w:val="none"/>
          <w:lang w:val="en-US" w:eastAsia="zh-CN"/>
        </w:rPr>
        <w:t>根据预算绩效管理要求，我部门2023年度预算绩效管理整体支出绩效自评表0个，全年预算总额0万元，实际执行总额0万元；</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lang w:eastAsia="zh-CN"/>
        </w:rPr>
      </w:pPr>
      <w:bookmarkStart w:id="46" w:name="_Toc7643"/>
      <w:bookmarkStart w:id="47" w:name="_Toc5453"/>
      <w:r>
        <w:rPr>
          <w:rFonts w:hint="eastAsia" w:ascii="黑体" w:hAnsi="黑体" w:eastAsia="仿宋_GB2312" w:cs="宋体"/>
          <w:bCs/>
          <w:color w:val="auto"/>
          <w:w w:val="90"/>
          <w:kern w:val="0"/>
          <w:sz w:val="32"/>
          <w:szCs w:val="32"/>
          <w:highlight w:val="none"/>
        </w:rPr>
        <w:t>八、《政府性基金预算财政拨款收入支出决算表》</w:t>
      </w:r>
      <w:bookmarkEnd w:id="46"/>
      <w:bookmarkEnd w:id="47"/>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lang w:eastAsia="zh-CN"/>
        </w:rPr>
      </w:pPr>
      <w:r>
        <w:rPr>
          <w:rFonts w:hint="eastAsia" w:ascii="黑体" w:hAnsi="黑体" w:eastAsia="仿宋_GB2312" w:cs="宋体"/>
          <w:bCs/>
          <w:color w:val="auto"/>
          <w:w w:val="90"/>
          <w:kern w:val="0"/>
          <w:sz w:val="32"/>
          <w:szCs w:val="32"/>
          <w:highlight w:val="none"/>
          <w:lang w:val="en-US" w:eastAsia="zh-CN"/>
        </w:rPr>
        <w:t>九</w:t>
      </w:r>
      <w:r>
        <w:rPr>
          <w:rFonts w:hint="eastAsia" w:ascii="黑体" w:hAnsi="黑体" w:eastAsia="仿宋_GB2312" w:cs="宋体"/>
          <w:bCs/>
          <w:color w:val="auto"/>
          <w:w w:val="90"/>
          <w:kern w:val="0"/>
          <w:sz w:val="32"/>
          <w:szCs w:val="32"/>
          <w:highlight w:val="none"/>
        </w:rPr>
        <w:t>、《</w:t>
      </w:r>
      <w:r>
        <w:rPr>
          <w:rFonts w:hint="eastAsia" w:ascii="黑体" w:hAnsi="黑体" w:eastAsia="仿宋_GB2312" w:cs="宋体"/>
          <w:bCs/>
          <w:color w:val="auto"/>
          <w:w w:val="90"/>
          <w:kern w:val="0"/>
          <w:sz w:val="32"/>
          <w:szCs w:val="32"/>
          <w:highlight w:val="none"/>
          <w:lang w:eastAsia="zh-CN"/>
        </w:rPr>
        <w:t>国有资本经营</w:t>
      </w:r>
      <w:r>
        <w:rPr>
          <w:rFonts w:hint="eastAsia" w:ascii="黑体" w:hAnsi="黑体" w:eastAsia="仿宋_GB2312" w:cs="宋体"/>
          <w:bCs/>
          <w:color w:val="auto"/>
          <w:w w:val="90"/>
          <w:kern w:val="0"/>
          <w:sz w:val="32"/>
          <w:szCs w:val="32"/>
          <w:highlight w:val="none"/>
        </w:rPr>
        <w:t>预算财政拨款收入支出决算表》</w:t>
      </w:r>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59264" behindDoc="0" locked="0" layoutInCell="1" allowOverlap="1">
            <wp:simplePos x="0" y="0"/>
            <wp:positionH relativeFrom="column">
              <wp:posOffset>-390525</wp:posOffset>
            </wp:positionH>
            <wp:positionV relativeFrom="paragraph">
              <wp:posOffset>66675</wp:posOffset>
            </wp:positionV>
            <wp:extent cx="5999480" cy="8362315"/>
            <wp:effectExtent l="0" t="0" r="1270" b="63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999480" cy="836231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0288" behindDoc="0" locked="0" layoutInCell="1" allowOverlap="1">
            <wp:simplePos x="0" y="0"/>
            <wp:positionH relativeFrom="column">
              <wp:posOffset>-381000</wp:posOffset>
            </wp:positionH>
            <wp:positionV relativeFrom="paragraph">
              <wp:posOffset>45720</wp:posOffset>
            </wp:positionV>
            <wp:extent cx="6311900" cy="4615180"/>
            <wp:effectExtent l="0" t="0" r="12700" b="1397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6311900" cy="46151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1312" behindDoc="0" locked="0" layoutInCell="1" allowOverlap="1">
            <wp:simplePos x="0" y="0"/>
            <wp:positionH relativeFrom="column">
              <wp:posOffset>-504825</wp:posOffset>
            </wp:positionH>
            <wp:positionV relativeFrom="paragraph">
              <wp:posOffset>26670</wp:posOffset>
            </wp:positionV>
            <wp:extent cx="6546850" cy="5299710"/>
            <wp:effectExtent l="0" t="0" r="6350" b="1524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6546850" cy="529971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r>
        <w:drawing>
          <wp:anchor distT="0" distB="0" distL="114300" distR="114300" simplePos="0" relativeHeight="251662336" behindDoc="0" locked="0" layoutInCell="1" allowOverlap="1">
            <wp:simplePos x="0" y="0"/>
            <wp:positionH relativeFrom="column">
              <wp:posOffset>-400050</wp:posOffset>
            </wp:positionH>
            <wp:positionV relativeFrom="paragraph">
              <wp:posOffset>57150</wp:posOffset>
            </wp:positionV>
            <wp:extent cx="6094095" cy="8828405"/>
            <wp:effectExtent l="0" t="0" r="1905" b="10795"/>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6094095" cy="8828405"/>
                    </a:xfrm>
                    <a:prstGeom prst="rect">
                      <a:avLst/>
                    </a:prstGeom>
                    <a:noFill/>
                    <a:ln>
                      <a:noFill/>
                    </a:ln>
                  </pic:spPr>
                </pic:pic>
              </a:graphicData>
            </a:graphic>
          </wp:anchor>
        </w:drawing>
      </w:r>
    </w:p>
    <w:p>
      <w:pPr>
        <w:bidi w:val="0"/>
        <w:rPr>
          <w:rFonts w:hint="eastAsia"/>
          <w:lang w:val="en-US" w:eastAsia="zh-CN"/>
        </w:rPr>
      </w:pPr>
      <w:r>
        <w:drawing>
          <wp:anchor distT="0" distB="0" distL="114300" distR="114300" simplePos="0" relativeHeight="251663360" behindDoc="0" locked="0" layoutInCell="1" allowOverlap="1">
            <wp:simplePos x="0" y="0"/>
            <wp:positionH relativeFrom="column">
              <wp:posOffset>-504825</wp:posOffset>
            </wp:positionH>
            <wp:positionV relativeFrom="paragraph">
              <wp:posOffset>146685</wp:posOffset>
            </wp:positionV>
            <wp:extent cx="6213475" cy="6155690"/>
            <wp:effectExtent l="0" t="0" r="15875" b="1651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6213475" cy="6155690"/>
                    </a:xfrm>
                    <a:prstGeom prst="rect">
                      <a:avLst/>
                    </a:prstGeom>
                    <a:noFill/>
                    <a:ln>
                      <a:noFill/>
                    </a:ln>
                  </pic:spPr>
                </pic:pic>
              </a:graphicData>
            </a:graphic>
          </wp:anchor>
        </w:drawing>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1048"/>
        </w:tabs>
        <w:bidi w:val="0"/>
        <w:jc w:val="left"/>
        <w:rPr>
          <w:rFonts w:hint="eastAsia"/>
          <w:lang w:val="en-US" w:eastAsia="zh-CN"/>
        </w:rPr>
      </w:pPr>
      <w:r>
        <w:rPr>
          <w:rFonts w:hint="eastAsia"/>
          <w:lang w:val="en-US" w:eastAsia="zh-CN"/>
        </w:rPr>
        <w:tab/>
      </w:r>
    </w:p>
    <w:p>
      <w:pPr>
        <w:tabs>
          <w:tab w:val="left" w:pos="1048"/>
        </w:tabs>
        <w:bidi w:val="0"/>
        <w:jc w:val="left"/>
        <w:rPr>
          <w:rFonts w:hint="eastAsia"/>
          <w:lang w:val="en-US" w:eastAsia="zh-CN"/>
        </w:rP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r>
        <w:drawing>
          <wp:anchor distT="0" distB="0" distL="114300" distR="114300" simplePos="0" relativeHeight="251667456" behindDoc="0" locked="0" layoutInCell="1" allowOverlap="1">
            <wp:simplePos x="0" y="0"/>
            <wp:positionH relativeFrom="column">
              <wp:posOffset>-476250</wp:posOffset>
            </wp:positionH>
            <wp:positionV relativeFrom="paragraph">
              <wp:posOffset>30480</wp:posOffset>
            </wp:positionV>
            <wp:extent cx="6310630" cy="8692515"/>
            <wp:effectExtent l="0" t="0" r="13970" b="13335"/>
            <wp:wrapSquare wrapText="bothSides"/>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0"/>
                    <a:stretch>
                      <a:fillRect/>
                    </a:stretch>
                  </pic:blipFill>
                  <pic:spPr>
                    <a:xfrm>
                      <a:off x="0" y="0"/>
                      <a:ext cx="6310630" cy="8692515"/>
                    </a:xfrm>
                    <a:prstGeom prst="rect">
                      <a:avLst/>
                    </a:prstGeom>
                    <a:noFill/>
                    <a:ln>
                      <a:noFill/>
                    </a:ln>
                  </pic:spPr>
                </pic:pic>
              </a:graphicData>
            </a:graphic>
          </wp:anchor>
        </w:drawing>
      </w:r>
    </w:p>
    <w:p>
      <w:pPr>
        <w:bidi w:val="0"/>
        <w:rPr>
          <w:rFonts w:hint="eastAsia"/>
          <w:lang w:val="en-US" w:eastAsia="zh-CN"/>
        </w:rPr>
      </w:pPr>
      <w:r>
        <w:drawing>
          <wp:anchor distT="0" distB="0" distL="114300" distR="114300" simplePos="0" relativeHeight="251664384" behindDoc="0" locked="0" layoutInCell="1" allowOverlap="1">
            <wp:simplePos x="0" y="0"/>
            <wp:positionH relativeFrom="column">
              <wp:posOffset>-533400</wp:posOffset>
            </wp:positionH>
            <wp:positionV relativeFrom="paragraph">
              <wp:posOffset>34290</wp:posOffset>
            </wp:positionV>
            <wp:extent cx="6108065" cy="4005580"/>
            <wp:effectExtent l="0" t="0" r="6985" b="13970"/>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6108065" cy="4005580"/>
                    </a:xfrm>
                    <a:prstGeom prst="rect">
                      <a:avLst/>
                    </a:prstGeom>
                    <a:noFill/>
                    <a:ln>
                      <a:noFill/>
                    </a:ln>
                  </pic:spPr>
                </pic:pic>
              </a:graphicData>
            </a:graphic>
          </wp:anchor>
        </w:drawing>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823"/>
        </w:tabs>
        <w:bidi w:val="0"/>
        <w:jc w:val="left"/>
        <w:rPr>
          <w:rFonts w:hint="eastAsia"/>
          <w:lang w:val="en-US" w:eastAsia="zh-CN"/>
        </w:rPr>
      </w:pPr>
      <w:r>
        <w:rPr>
          <w:rFonts w:hint="eastAsia"/>
          <w:lang w:val="en-US" w:eastAsia="zh-CN"/>
        </w:rPr>
        <w:tab/>
      </w: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r>
        <w:drawing>
          <wp:anchor distT="0" distB="0" distL="114300" distR="114300" simplePos="0" relativeHeight="251665408" behindDoc="0" locked="0" layoutInCell="1" allowOverlap="1">
            <wp:simplePos x="0" y="0"/>
            <wp:positionH relativeFrom="column">
              <wp:posOffset>-504825</wp:posOffset>
            </wp:positionH>
            <wp:positionV relativeFrom="paragraph">
              <wp:posOffset>55245</wp:posOffset>
            </wp:positionV>
            <wp:extent cx="6505575" cy="3730625"/>
            <wp:effectExtent l="0" t="0" r="9525" b="3175"/>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6505575" cy="3730625"/>
                    </a:xfrm>
                    <a:prstGeom prst="rect">
                      <a:avLst/>
                    </a:prstGeom>
                    <a:noFill/>
                    <a:ln>
                      <a:noFill/>
                    </a:ln>
                  </pic:spPr>
                </pic:pic>
              </a:graphicData>
            </a:graphic>
          </wp:anchor>
        </w:drawing>
      </w: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p>
    <w:p>
      <w:pPr>
        <w:tabs>
          <w:tab w:val="left" w:pos="823"/>
        </w:tabs>
        <w:bidi w:val="0"/>
        <w:jc w:val="left"/>
        <w:rPr>
          <w:rFonts w:hint="eastAsia"/>
          <w:lang w:val="en-US" w:eastAsia="zh-CN"/>
        </w:rPr>
      </w:pPr>
      <w:r>
        <w:drawing>
          <wp:anchor distT="0" distB="0" distL="114300" distR="114300" simplePos="0" relativeHeight="251666432" behindDoc="0" locked="0" layoutInCell="1" allowOverlap="1">
            <wp:simplePos x="0" y="0"/>
            <wp:positionH relativeFrom="column">
              <wp:posOffset>-504825</wp:posOffset>
            </wp:positionH>
            <wp:positionV relativeFrom="paragraph">
              <wp:posOffset>129540</wp:posOffset>
            </wp:positionV>
            <wp:extent cx="6550660" cy="3058160"/>
            <wp:effectExtent l="0" t="0" r="2540" b="8890"/>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6550660" cy="3058160"/>
                    </a:xfrm>
                    <a:prstGeom prst="rect">
                      <a:avLst/>
                    </a:prstGeom>
                    <a:noFill/>
                    <a:ln>
                      <a:noFill/>
                    </a:ln>
                  </pic:spPr>
                </pic:pic>
              </a:graphicData>
            </a:graphic>
          </wp:anchor>
        </w:drawing>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2A8046DD"/>
    <w:multiLevelType w:val="singleLevel"/>
    <w:tmpl w:val="2A8046DD"/>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07C92"/>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997A67"/>
    <w:rsid w:val="112E58D0"/>
    <w:rsid w:val="11731CAC"/>
    <w:rsid w:val="119500A0"/>
    <w:rsid w:val="11C0733B"/>
    <w:rsid w:val="11D50D17"/>
    <w:rsid w:val="120E0809"/>
    <w:rsid w:val="127F665A"/>
    <w:rsid w:val="12F7068C"/>
    <w:rsid w:val="14207DC0"/>
    <w:rsid w:val="14B932DA"/>
    <w:rsid w:val="14D24BA3"/>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0264BF"/>
    <w:rsid w:val="2033739E"/>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3D597F"/>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7127D3"/>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6E4071"/>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5F104B"/>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2"/>
    <w:next w:val="1"/>
    <w:qFormat/>
    <w:uiPriority w:val="0"/>
    <w:pPr>
      <w:spacing w:line="560" w:lineRule="exact"/>
      <w:ind w:left="0" w:leftChars="0" w:firstLine="420" w:firstLineChars="200"/>
    </w:pPr>
    <w:rPr>
      <w:rFonts w:ascii="Times New Roman" w:hAnsi="Times New Roman" w:eastAsia="方正仿宋_GBK" w:cs="Times New Roman"/>
      <w:sz w:val="32"/>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6</TotalTime>
  <ScaleCrop>false</ScaleCrop>
  <LinksUpToDate>false</LinksUpToDate>
  <CharactersWithSpaces>20832</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2024-11-19T12:46:54Z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