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adjustRightInd/>
        <w:snapToGrid/>
        <w:spacing w:line="240" w:lineRule="auto"/>
        <w:textAlignment w:val="auto"/>
        <w:rPr>
          <w:rFonts w:ascii="黑体" w:hAnsi="黑体" w:eastAsia="黑体"/>
          <w:color w:val="auto"/>
          <w:sz w:val="32"/>
          <w:szCs w:val="32"/>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olor w:val="auto"/>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olor w:val="auto"/>
          <w:sz w:val="40"/>
          <w:szCs w:val="40"/>
          <w:highlight w:val="none"/>
          <w:lang w:val="en-US" w:eastAsia="zh-CN"/>
        </w:rPr>
      </w:pPr>
      <w:r>
        <w:rPr>
          <w:rFonts w:hint="eastAsia" w:ascii="方正小标宋_GBK" w:hAnsi="宋体" w:eastAsia="方正小标宋_GBK"/>
          <w:color w:val="auto"/>
          <w:sz w:val="40"/>
          <w:szCs w:val="40"/>
          <w:highlight w:val="none"/>
          <w:lang w:val="en-US" w:eastAsia="zh-CN"/>
        </w:rPr>
        <w:t>库尔勒市永安街道办事处</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olor w:val="auto"/>
          <w:sz w:val="40"/>
          <w:szCs w:val="40"/>
          <w:highlight w:val="none"/>
        </w:rPr>
      </w:pPr>
      <w:r>
        <w:rPr>
          <w:rFonts w:hint="eastAsia" w:ascii="方正小标宋_GBK" w:hAnsi="宋体" w:eastAsia="方正小标宋_GBK"/>
          <w:color w:val="auto"/>
          <w:sz w:val="40"/>
          <w:szCs w:val="40"/>
          <w:highlight w:val="none"/>
          <w:lang w:eastAsia="zh-CN"/>
        </w:rPr>
        <w:t xml:space="preserve"> 2023年度</w:t>
      </w:r>
      <w:r>
        <w:rPr>
          <w:rFonts w:hint="eastAsia" w:ascii="方正小标宋_GBK" w:hAnsi="宋体" w:eastAsia="方正小标宋_GBK"/>
          <w:color w:val="auto"/>
          <w:sz w:val="40"/>
          <w:szCs w:val="40"/>
          <w:highlight w:val="none"/>
        </w:rPr>
        <w:t>部门决算</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color w:val="auto"/>
          <w:sz w:val="40"/>
          <w:szCs w:val="40"/>
          <w:highlight w:val="none"/>
        </w:rPr>
      </w:pPr>
      <w:r>
        <w:rPr>
          <w:rFonts w:hint="eastAsia" w:ascii="方正小标宋_GBK" w:hAnsi="宋体" w:eastAsia="方正小标宋_GBK"/>
          <w:color w:val="auto"/>
          <w:sz w:val="40"/>
          <w:szCs w:val="40"/>
          <w:highlight w:val="none"/>
        </w:rPr>
        <w:t>公开说明</w:t>
      </w:r>
    </w:p>
    <w:p>
      <w:pPr>
        <w:rPr>
          <w:rFonts w:hint="eastAsia" w:ascii="方正小标宋_GBK" w:hAnsi="宋体" w:eastAsia="方正小标宋_GBK"/>
          <w:color w:val="auto"/>
          <w:sz w:val="44"/>
          <w:szCs w:val="44"/>
          <w:highlight w:val="none"/>
        </w:rPr>
      </w:pPr>
      <w:r>
        <w:rPr>
          <w:rFonts w:hint="eastAsia" w:ascii="方正小标宋_GBK" w:hAnsi="宋体" w:eastAsia="方正小标宋_GBK"/>
          <w:color w:val="auto"/>
          <w:sz w:val="44"/>
          <w:szCs w:val="44"/>
          <w:highlight w:val="none"/>
        </w:rPr>
        <w:br w:type="page"/>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Times New Roman" w:hAnsi="Times New Roman" w:eastAsia="方正小标宋_GBK" w:cs="Times New Roman"/>
          <w:color w:val="auto"/>
          <w:sz w:val="40"/>
          <w:szCs w:val="40"/>
          <w:highlight w:val="none"/>
        </w:rPr>
      </w:pPr>
      <w:r>
        <w:rPr>
          <w:rFonts w:hint="eastAsia" w:ascii="Times New Roman" w:hAnsi="Times New Roman" w:eastAsia="方正小标宋_GBK" w:cs="Times New Roman"/>
          <w:color w:val="auto"/>
          <w:sz w:val="40"/>
          <w:szCs w:val="40"/>
          <w:highlight w:val="none"/>
        </w:rPr>
        <w:t>目  录</w:t>
      </w:r>
    </w:p>
    <w:p>
      <w:pPr>
        <w:pStyle w:val="6"/>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color w:val="auto"/>
          <w:sz w:val="32"/>
          <w:szCs w:val="32"/>
          <w:highlight w:val="none"/>
        </w:rPr>
        <w:fldChar w:fldCharType="begin"/>
      </w:r>
      <w:r>
        <w:rPr>
          <w:rFonts w:hint="eastAsia" w:ascii="仿宋_GB2312" w:hAnsi="仿宋_GB2312" w:eastAsia="仿宋_GB2312" w:cs="仿宋_GB2312"/>
          <w:color w:val="auto"/>
          <w:sz w:val="32"/>
          <w:szCs w:val="32"/>
          <w:highlight w:val="none"/>
        </w:rPr>
        <w:instrText xml:space="preserve">TOC \o "1-3" \n  \h \u </w:instrText>
      </w:r>
      <w:r>
        <w:rPr>
          <w:rFonts w:hint="eastAsia" w:ascii="仿宋_GB2312" w:hAnsi="仿宋_GB2312" w:eastAsia="仿宋_GB2312" w:cs="仿宋_GB2312"/>
          <w:color w:val="auto"/>
          <w:sz w:val="32"/>
          <w:szCs w:val="32"/>
          <w:highlight w:val="none"/>
        </w:rPr>
        <w:fldChar w:fldCharType="separate"/>
      </w: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_Toc32314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第一部分 部门概况</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_Toc30567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bCs/>
          <w:color w:val="auto"/>
          <w:kern w:val="0"/>
          <w:sz w:val="31"/>
          <w:szCs w:val="31"/>
          <w:highlight w:val="none"/>
        </w:rPr>
        <w:t>一、主要职能</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_Toc2151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bCs/>
          <w:color w:val="auto"/>
          <w:kern w:val="0"/>
          <w:sz w:val="31"/>
          <w:szCs w:val="31"/>
          <w:highlight w:val="none"/>
        </w:rPr>
        <w:t>二、机构设置</w:t>
      </w:r>
      <w:r>
        <w:rPr>
          <w:rFonts w:hint="eastAsia" w:ascii="方正仿宋_GBK" w:hAnsi="方正仿宋_GBK" w:eastAsia="方正仿宋_GBK" w:cs="方正仿宋_GBK"/>
          <w:bCs/>
          <w:color w:val="auto"/>
          <w:kern w:val="0"/>
          <w:sz w:val="31"/>
          <w:szCs w:val="31"/>
          <w:highlight w:val="none"/>
          <w:lang w:eastAsia="zh-CN"/>
        </w:rPr>
        <w:t>及人员</w:t>
      </w:r>
      <w:r>
        <w:rPr>
          <w:rFonts w:hint="eastAsia" w:ascii="方正仿宋_GBK" w:hAnsi="方正仿宋_GBK" w:eastAsia="方正仿宋_GBK" w:cs="方正仿宋_GBK"/>
          <w:bCs/>
          <w:color w:val="auto"/>
          <w:kern w:val="0"/>
          <w:sz w:val="31"/>
          <w:szCs w:val="31"/>
          <w:highlight w:val="none"/>
        </w:rPr>
        <w:t>情况</w:t>
      </w:r>
      <w:r>
        <w:rPr>
          <w:rFonts w:hint="eastAsia" w:ascii="方正仿宋_GBK" w:hAnsi="方正仿宋_GBK" w:eastAsia="方正仿宋_GBK" w:cs="方正仿宋_GBK"/>
          <w:color w:val="auto"/>
          <w:sz w:val="31"/>
          <w:szCs w:val="31"/>
          <w:highlight w:val="none"/>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黑体_GBK" w:hAnsi="方正黑体_GBK" w:eastAsia="方正黑体_GBK" w:cs="方正黑体_GBK"/>
          <w:bCs/>
          <w:kern w:val="0"/>
          <w:sz w:val="31"/>
          <w:szCs w:val="31"/>
          <w:highlight w:val="none"/>
          <w:lang w:val="en-US" w:eastAsia="zh-CN" w:bidi="ar-SA"/>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_Toc29374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第二部分 部门决算情况说明</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_Toc25314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一、收入支出决算总体情况说明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_Toc12142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二、</w:t>
      </w:r>
      <w:r>
        <w:rPr>
          <w:rFonts w:hint="eastAsia" w:ascii="方正仿宋_GBK" w:hAnsi="方正仿宋_GBK" w:eastAsia="方正仿宋_GBK" w:cs="方正仿宋_GBK"/>
          <w:color w:val="auto"/>
          <w:sz w:val="31"/>
          <w:szCs w:val="31"/>
          <w:highlight w:val="none"/>
        </w:rPr>
        <w:t>收入</w:t>
      </w:r>
      <w:r>
        <w:rPr>
          <w:rFonts w:hint="eastAsia" w:ascii="方正仿宋_GBK" w:hAnsi="方正仿宋_GBK" w:eastAsia="方正仿宋_GBK" w:cs="方正仿宋_GBK"/>
          <w:color w:val="auto"/>
          <w:sz w:val="31"/>
          <w:szCs w:val="31"/>
          <w:highlight w:val="none"/>
          <w:lang w:eastAsia="zh-CN"/>
        </w:rPr>
        <w:t>决算</w:t>
      </w:r>
      <w:r>
        <w:rPr>
          <w:rFonts w:hint="eastAsia" w:ascii="方正仿宋_GBK" w:hAnsi="方正仿宋_GBK" w:eastAsia="方正仿宋_GBK" w:cs="方正仿宋_GBK"/>
          <w:color w:val="auto"/>
          <w:sz w:val="31"/>
          <w:szCs w:val="31"/>
          <w:highlight w:val="none"/>
        </w:rPr>
        <w:t>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_Toc13201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三、支出决算情况说明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_Toc26564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四、财政拨款收入支出决算总体情况说明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_Toc20360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五、一般公共预算财政拨款支出决算情况说明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_Toc30870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六、一般公共预算财政拨款基本支出决算情况说明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_Toc21518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七</w:t>
      </w:r>
      <w:r>
        <w:rPr>
          <w:rFonts w:hint="eastAsia" w:ascii="方正仿宋_GBK" w:hAnsi="方正仿宋_GBK" w:eastAsia="方正仿宋_GBK" w:cs="方正仿宋_GBK"/>
          <w:color w:val="auto"/>
          <w:sz w:val="31"/>
          <w:szCs w:val="31"/>
          <w:highlight w:val="none"/>
        </w:rPr>
        <w:t>、</w:t>
      </w:r>
      <w:r>
        <w:rPr>
          <w:rFonts w:hint="eastAsia" w:ascii="方正仿宋_GBK" w:hAnsi="方正仿宋_GBK" w:eastAsia="方正仿宋_GBK" w:cs="方正仿宋_GBK"/>
          <w:color w:val="auto"/>
          <w:sz w:val="31"/>
          <w:szCs w:val="31"/>
          <w:highlight w:val="none"/>
          <w:lang w:eastAsia="zh-CN"/>
        </w:rPr>
        <w:t>财政拨款</w:t>
      </w:r>
      <w:r>
        <w:rPr>
          <w:rFonts w:hint="eastAsia" w:ascii="方正仿宋_GBK" w:hAnsi="方正仿宋_GBK" w:eastAsia="方正仿宋_GBK" w:cs="方正仿宋_GBK"/>
          <w:color w:val="auto"/>
          <w:sz w:val="31"/>
          <w:szCs w:val="31"/>
          <w:highlight w:val="none"/>
        </w:rPr>
        <w:t>“三公”经费支出</w:t>
      </w:r>
      <w:r>
        <w:rPr>
          <w:rFonts w:hint="eastAsia" w:ascii="方正仿宋_GBK" w:hAnsi="方正仿宋_GBK" w:eastAsia="方正仿宋_GBK" w:cs="方正仿宋_GBK"/>
          <w:color w:val="auto"/>
          <w:sz w:val="31"/>
          <w:szCs w:val="31"/>
          <w:highlight w:val="none"/>
          <w:lang w:eastAsia="zh-CN"/>
        </w:rPr>
        <w:t>决算</w:t>
      </w:r>
      <w:r>
        <w:rPr>
          <w:rFonts w:hint="eastAsia" w:ascii="方正仿宋_GBK" w:hAnsi="方正仿宋_GBK" w:eastAsia="方正仿宋_GBK" w:cs="方正仿宋_GBK"/>
          <w:color w:val="auto"/>
          <w:sz w:val="31"/>
          <w:szCs w:val="31"/>
          <w:highlight w:val="none"/>
        </w:rPr>
        <w:t>情况</w:t>
      </w:r>
      <w:r>
        <w:rPr>
          <w:rFonts w:hint="eastAsia" w:ascii="方正仿宋_GBK" w:hAnsi="方正仿宋_GBK" w:eastAsia="方正仿宋_GBK" w:cs="方正仿宋_GBK"/>
          <w:color w:val="auto"/>
          <w:sz w:val="31"/>
          <w:szCs w:val="31"/>
          <w:highlight w:val="none"/>
          <w:lang w:eastAsia="zh-CN"/>
        </w:rPr>
        <w:t>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_Toc5810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val="en-US" w:eastAsia="zh-CN"/>
        </w:rPr>
        <w:t>八、</w:t>
      </w:r>
      <w:r>
        <w:rPr>
          <w:rFonts w:hint="eastAsia" w:ascii="方正仿宋_GBK" w:hAnsi="方正仿宋_GBK" w:eastAsia="方正仿宋_GBK" w:cs="方正仿宋_GBK"/>
          <w:color w:val="auto"/>
          <w:sz w:val="31"/>
          <w:szCs w:val="31"/>
          <w:highlight w:val="none"/>
          <w:lang w:eastAsia="zh-CN"/>
        </w:rPr>
        <w:t>政府性基金预算财政拨款收入支出决算情况说明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_Toc5810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val="en-US" w:eastAsia="zh-CN"/>
        </w:rPr>
        <w:t>九</w:t>
      </w:r>
      <w:r>
        <w:rPr>
          <w:rFonts w:hint="eastAsia" w:ascii="方正仿宋_GBK" w:hAnsi="方正仿宋_GBK" w:eastAsia="方正仿宋_GBK" w:cs="方正仿宋_GBK"/>
          <w:color w:val="auto"/>
          <w:sz w:val="31"/>
          <w:szCs w:val="31"/>
          <w:highlight w:val="none"/>
          <w:lang w:eastAsia="zh-CN"/>
        </w:rPr>
        <w:t>、国有资本经营预算财政拨款收入支出决算情况说明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_Toc1235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十</w:t>
      </w:r>
      <w:r>
        <w:rPr>
          <w:rFonts w:hint="eastAsia" w:ascii="方正仿宋_GBK" w:hAnsi="方正仿宋_GBK" w:eastAsia="方正仿宋_GBK" w:cs="方正仿宋_GBK"/>
          <w:color w:val="auto"/>
          <w:sz w:val="31"/>
          <w:szCs w:val="31"/>
          <w:highlight w:val="none"/>
        </w:rPr>
        <w:t>、其他重要事项的情况</w:t>
      </w:r>
      <w:r>
        <w:rPr>
          <w:rFonts w:hint="eastAsia" w:ascii="方正仿宋_GBK" w:hAnsi="方正仿宋_GBK" w:eastAsia="方正仿宋_GBK" w:cs="方正仿宋_GBK"/>
          <w:color w:val="auto"/>
          <w:sz w:val="31"/>
          <w:szCs w:val="31"/>
          <w:highlight w:val="none"/>
          <w:lang w:eastAsia="zh-CN"/>
        </w:rPr>
        <w:t>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_Toc14519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（一）</w:t>
      </w:r>
      <w:r>
        <w:rPr>
          <w:rFonts w:hint="eastAsia" w:ascii="方正仿宋_GBK" w:hAnsi="方正仿宋_GBK" w:eastAsia="方正仿宋_GBK" w:cs="方正仿宋_GBK"/>
          <w:color w:val="auto"/>
          <w:sz w:val="31"/>
          <w:szCs w:val="31"/>
          <w:highlight w:val="none"/>
        </w:rPr>
        <w:t>机关运行经费支出情况</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_Toc227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（二）政府采购情况</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_Toc8391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（三）国有资产占用情况说明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_Toc11283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eastAsia="zh-CN"/>
        </w:rPr>
        <w:t>十</w:t>
      </w:r>
      <w:r>
        <w:rPr>
          <w:rFonts w:hint="eastAsia" w:ascii="方正仿宋_GBK" w:hAnsi="方正仿宋_GBK" w:eastAsia="方正仿宋_GBK" w:cs="方正仿宋_GBK"/>
          <w:color w:val="auto"/>
          <w:sz w:val="31"/>
          <w:szCs w:val="31"/>
          <w:highlight w:val="none"/>
          <w:lang w:val="en-US" w:eastAsia="zh-CN"/>
        </w:rPr>
        <w:t>一</w:t>
      </w:r>
      <w:r>
        <w:rPr>
          <w:rFonts w:hint="eastAsia" w:ascii="方正仿宋_GBK" w:hAnsi="方正仿宋_GBK" w:eastAsia="方正仿宋_GBK" w:cs="方正仿宋_GBK"/>
          <w:color w:val="auto"/>
          <w:sz w:val="31"/>
          <w:szCs w:val="31"/>
          <w:highlight w:val="none"/>
          <w:lang w:eastAsia="zh-CN"/>
        </w:rPr>
        <w:t>、预算绩效的情况说明</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t>十二、其他需说明的事项</w:t>
      </w:r>
    </w:p>
    <w:p>
      <w:pPr>
        <w:pStyle w:val="6"/>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黑体_GBK" w:hAnsi="方正黑体_GBK" w:eastAsia="方正黑体_GBK" w:cs="方正黑体_GBK"/>
          <w:bCs/>
          <w:kern w:val="0"/>
          <w:sz w:val="31"/>
          <w:szCs w:val="31"/>
          <w:highlight w:val="none"/>
          <w:lang w:val="en-US" w:eastAsia="zh-CN" w:bidi="ar-SA"/>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_Toc3250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第三部分 专业名词解释</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color w:val="auto"/>
          <w:sz w:val="32"/>
          <w:szCs w:val="32"/>
          <w:highlight w:val="none"/>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_Toc22784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第四部分 部门决算报表（见附表）</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_Toc2183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一、《收入支出决算总表》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_Toc24532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二、《收入决算表》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_Toc32434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三、《支出决算表》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_Toc28786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四、《财政拨款收入支出决算总表》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_Toc14869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五、《一般公共预算财政拨款支出决算表》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_Toc8884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六、《一般公共预算财政拨款基本支出决算表》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_Toc29106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rPr>
        <w:t>七、《财政拨款“三公”经费支出决算表》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fldChar w:fldCharType="begin"/>
      </w:r>
      <w:r>
        <w:rPr>
          <w:rFonts w:hint="eastAsia" w:ascii="方正仿宋_GBK" w:hAnsi="方正仿宋_GBK" w:eastAsia="方正仿宋_GBK" w:cs="方正仿宋_GBK"/>
          <w:color w:val="auto"/>
          <w:sz w:val="31"/>
          <w:szCs w:val="31"/>
          <w:highlight w:val="none"/>
        </w:rPr>
        <w:instrText xml:space="preserve"> HYPERLINK \l _Toc7643 </w:instrText>
      </w:r>
      <w:r>
        <w:rPr>
          <w:rFonts w:hint="eastAsia" w:ascii="方正仿宋_GBK" w:hAnsi="方正仿宋_GBK" w:eastAsia="方正仿宋_GBK" w:cs="方正仿宋_GBK"/>
          <w:color w:val="auto"/>
          <w:sz w:val="31"/>
          <w:szCs w:val="31"/>
          <w:highlight w:val="none"/>
        </w:rPr>
        <w:fldChar w:fldCharType="separate"/>
      </w:r>
      <w:r>
        <w:rPr>
          <w:rFonts w:hint="eastAsia" w:ascii="方正仿宋_GBK" w:hAnsi="方正仿宋_GBK" w:eastAsia="方正仿宋_GBK" w:cs="方正仿宋_GBK"/>
          <w:color w:val="auto"/>
          <w:sz w:val="31"/>
          <w:szCs w:val="31"/>
          <w:highlight w:val="none"/>
          <w:lang w:val="en-US" w:eastAsia="zh-CN"/>
        </w:rPr>
        <w:t>八、</w:t>
      </w:r>
      <w:r>
        <w:rPr>
          <w:rFonts w:hint="eastAsia" w:ascii="方正仿宋_GBK" w:hAnsi="方正仿宋_GBK" w:eastAsia="方正仿宋_GBK" w:cs="方正仿宋_GBK"/>
          <w:color w:val="auto"/>
          <w:sz w:val="31"/>
          <w:szCs w:val="31"/>
          <w:highlight w:val="none"/>
        </w:rPr>
        <w:t>《政府性基金预算财政拨款收入支出决算表》</w:t>
      </w:r>
      <w:r>
        <w:rPr>
          <w:rFonts w:hint="eastAsia" w:ascii="方正仿宋_GBK" w:hAnsi="方正仿宋_GBK" w:eastAsia="方正仿宋_GBK" w:cs="方正仿宋_GBK"/>
          <w:color w:val="auto"/>
          <w:sz w:val="31"/>
          <w:szCs w:val="31"/>
          <w:highlight w:val="none"/>
        </w:rPr>
        <w:fldChar w:fldCharType="end"/>
      </w:r>
    </w:p>
    <w:p>
      <w:pPr>
        <w:pStyle w:val="7"/>
        <w:keepNext w:val="0"/>
        <w:keepLines w:val="0"/>
        <w:pageBreakBefore w:val="0"/>
        <w:widowControl w:val="0"/>
        <w:tabs>
          <w:tab w:val="right" w:pos="8306"/>
        </w:tabs>
        <w:kinsoku/>
        <w:wordWrap/>
        <w:overflowPunct/>
        <w:topLinePunct w:val="0"/>
        <w:autoSpaceDE/>
        <w:autoSpaceDN/>
        <w:bidi w:val="0"/>
        <w:adjustRightInd/>
        <w:snapToGrid/>
        <w:ind w:left="0" w:leftChars="0"/>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val="en-US" w:eastAsia="zh-CN"/>
        </w:rPr>
        <w:t>九</w:t>
      </w:r>
      <w:r>
        <w:rPr>
          <w:rFonts w:hint="eastAsia" w:ascii="方正仿宋_GBK" w:hAnsi="方正仿宋_GBK" w:eastAsia="方正仿宋_GBK" w:cs="方正仿宋_GBK"/>
          <w:color w:val="auto"/>
          <w:sz w:val="31"/>
          <w:szCs w:val="31"/>
          <w:highlight w:val="none"/>
          <w:lang w:eastAsia="zh-CN"/>
        </w:rPr>
        <w:t>、《国有资本经营</w:t>
      </w:r>
      <w:r>
        <w:rPr>
          <w:rFonts w:hint="eastAsia" w:ascii="方正仿宋_GBK" w:hAnsi="方正仿宋_GBK" w:eastAsia="方正仿宋_GBK" w:cs="方正仿宋_GBK"/>
          <w:color w:val="auto"/>
          <w:sz w:val="31"/>
          <w:szCs w:val="31"/>
          <w:highlight w:val="none"/>
        </w:rPr>
        <w:t>预算财政拨款收入支出决算表</w:t>
      </w:r>
      <w:r>
        <w:rPr>
          <w:rFonts w:hint="eastAsia" w:ascii="方正仿宋_GBK" w:hAnsi="方正仿宋_GBK" w:eastAsia="方正仿宋_GBK" w:cs="方正仿宋_GBK"/>
          <w:color w:val="auto"/>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ind w:left="0" w:leftChars="0"/>
        <w:jc w:val="both"/>
        <w:textAlignment w:val="auto"/>
        <w:rPr>
          <w:color w:val="auto"/>
          <w:highlight w:val="none"/>
        </w:rPr>
      </w:pPr>
      <w:r>
        <w:rPr>
          <w:rFonts w:hint="eastAsia" w:ascii="仿宋_GB2312" w:hAnsi="仿宋_GB2312" w:eastAsia="仿宋_GB2312" w:cs="仿宋_GB2312"/>
          <w:color w:val="auto"/>
          <w:sz w:val="32"/>
          <w:szCs w:val="32"/>
          <w:highlight w:val="none"/>
        </w:rPr>
        <w:fldChar w:fldCharType="end"/>
      </w:r>
    </w:p>
    <w:p>
      <w:pPr>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br w:type="page"/>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黑体" w:hAnsi="黑体" w:eastAsia="黑体"/>
          <w:color w:val="auto"/>
          <w:sz w:val="32"/>
          <w:szCs w:val="32"/>
          <w:highlight w:val="none"/>
        </w:rPr>
      </w:pPr>
      <w:bookmarkStart w:id="0" w:name="_Toc24028"/>
      <w:bookmarkStart w:id="1" w:name="_Toc32314"/>
      <w:r>
        <w:rPr>
          <w:rFonts w:hint="eastAsia" w:ascii="方正小标宋_GBK" w:hAnsi="方正小标宋_GBK" w:eastAsia="方正小标宋_GBK" w:cs="方正小标宋_GBK"/>
          <w:color w:val="auto"/>
          <w:sz w:val="31"/>
          <w:szCs w:val="31"/>
          <w:highlight w:val="none"/>
        </w:rPr>
        <w:t xml:space="preserve">第一部分 </w:t>
      </w:r>
      <w:r>
        <w:rPr>
          <w:rFonts w:hint="eastAsia" w:ascii="方正小标宋_GBK" w:hAnsi="方正小标宋_GBK" w:eastAsia="方正小标宋_GBK" w:cs="方正小标宋_GBK"/>
          <w:color w:val="auto"/>
          <w:sz w:val="31"/>
          <w:szCs w:val="31"/>
          <w:highlight w:val="none"/>
          <w:lang w:eastAsia="zh-CN"/>
        </w:rPr>
        <w:t>部门</w:t>
      </w:r>
      <w:r>
        <w:rPr>
          <w:rFonts w:hint="eastAsia" w:ascii="方正小标宋_GBK" w:hAnsi="方正小标宋_GBK" w:eastAsia="方正小标宋_GBK" w:cs="方正小标宋_GBK"/>
          <w:color w:val="auto"/>
          <w:sz w:val="31"/>
          <w:szCs w:val="31"/>
          <w:highlight w:val="none"/>
        </w:rPr>
        <w:t>概况</w:t>
      </w:r>
      <w:bookmarkEnd w:id="0"/>
      <w:bookmarkEnd w:id="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2" w:name="_Toc30567"/>
      <w:bookmarkStart w:id="3" w:name="_Toc30738"/>
      <w:r>
        <w:rPr>
          <w:rFonts w:hint="eastAsia" w:ascii="方正黑体_GBK" w:hAnsi="方正黑体_GBK" w:eastAsia="方正黑体_GBK" w:cs="方正黑体_GBK"/>
          <w:bCs/>
          <w:color w:val="auto"/>
          <w:kern w:val="0"/>
          <w:sz w:val="31"/>
          <w:szCs w:val="31"/>
          <w:highlight w:val="none"/>
        </w:rPr>
        <w:t>一、主要职能</w:t>
      </w:r>
      <w:bookmarkEnd w:id="2"/>
      <w:bookmarkEnd w:id="3"/>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rPr>
      </w:pPr>
      <w:r>
        <w:rPr>
          <w:rFonts w:hint="eastAsia" w:ascii="方正仿宋_GBK" w:hAnsi="方正仿宋_GBK" w:eastAsia="方正仿宋_GBK" w:cs="方正仿宋_GBK"/>
          <w:color w:val="auto"/>
          <w:sz w:val="31"/>
          <w:szCs w:val="31"/>
          <w:highlight w:val="none"/>
          <w:lang w:val="en-US" w:eastAsia="zh-CN"/>
        </w:rPr>
        <w:t>1、</w:t>
      </w:r>
      <w:r>
        <w:rPr>
          <w:rFonts w:hint="eastAsia" w:ascii="方正仿宋_GBK" w:hAnsi="方正仿宋_GBK" w:eastAsia="方正仿宋_GBK" w:cs="方正仿宋_GBK"/>
          <w:color w:val="auto"/>
          <w:sz w:val="31"/>
          <w:szCs w:val="31"/>
          <w:highlight w:val="none"/>
        </w:rPr>
        <w:t>新疆巴州库尔勒市永安街道办事处贯彻执行党和国家的各项</w:t>
      </w:r>
      <w:r>
        <w:rPr>
          <w:rFonts w:hint="eastAsia" w:ascii="方正仿宋_GBK" w:hAnsi="方正仿宋_GBK" w:eastAsia="方正仿宋_GBK" w:cs="方正仿宋_GBK"/>
          <w:sz w:val="31"/>
          <w:szCs w:val="31"/>
        </w:rPr>
        <w:t>方针、政策、法令、法规上级人民政府关于街道工作方面的决定，制定具体的管理办法并组织实施。</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rPr>
      </w:pPr>
      <w:r>
        <w:rPr>
          <w:rFonts w:hint="eastAsia" w:ascii="方正仿宋_GBK" w:hAnsi="方正仿宋_GBK" w:eastAsia="方正仿宋_GBK" w:cs="方正仿宋_GBK"/>
          <w:sz w:val="31"/>
          <w:szCs w:val="31"/>
          <w:lang w:val="en-US" w:eastAsia="zh-CN"/>
        </w:rPr>
        <w:t>2、</w:t>
      </w:r>
      <w:r>
        <w:rPr>
          <w:rFonts w:hint="eastAsia" w:ascii="方正仿宋_GBK" w:hAnsi="方正仿宋_GBK" w:eastAsia="方正仿宋_GBK" w:cs="方正仿宋_GBK"/>
          <w:sz w:val="31"/>
          <w:szCs w:val="31"/>
        </w:rPr>
        <w:t>负责辖区内的社会管理综合治理，人民调解、法律服务工作，依照有关规定管理外来流动人员。</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rPr>
      </w:pPr>
      <w:r>
        <w:rPr>
          <w:rFonts w:hint="eastAsia" w:ascii="方正仿宋_GBK" w:hAnsi="方正仿宋_GBK" w:eastAsia="方正仿宋_GBK" w:cs="方正仿宋_GBK"/>
          <w:sz w:val="31"/>
          <w:szCs w:val="31"/>
          <w:lang w:val="en-US" w:eastAsia="zh-CN"/>
        </w:rPr>
        <w:t>3、</w:t>
      </w:r>
      <w:r>
        <w:rPr>
          <w:rFonts w:hint="eastAsia" w:ascii="方正仿宋_GBK" w:hAnsi="方正仿宋_GBK" w:eastAsia="方正仿宋_GBK" w:cs="方正仿宋_GBK"/>
          <w:sz w:val="31"/>
          <w:szCs w:val="31"/>
        </w:rPr>
        <w:t>开展社区服务、拥军优属工作，负责社区优抚、社会救济、社会福利工作，做好社区文化、科普、体育、教育工作。</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rPr>
      </w:pPr>
      <w:r>
        <w:rPr>
          <w:rFonts w:hint="eastAsia" w:ascii="方正仿宋_GBK" w:hAnsi="方正仿宋_GBK" w:eastAsia="方正仿宋_GBK" w:cs="方正仿宋_GBK"/>
          <w:sz w:val="31"/>
          <w:szCs w:val="31"/>
          <w:lang w:val="en-US" w:eastAsia="zh-CN"/>
        </w:rPr>
        <w:t>4、</w:t>
      </w:r>
      <w:r>
        <w:rPr>
          <w:rFonts w:hint="eastAsia" w:ascii="方正仿宋_GBK" w:hAnsi="方正仿宋_GBK" w:eastAsia="方正仿宋_GBK" w:cs="方正仿宋_GBK"/>
          <w:sz w:val="31"/>
          <w:szCs w:val="31"/>
        </w:rPr>
        <w:t>按照职责范围做好计划生育、爱国卫生、绿化、环境保护、劳动就业、安全生产等管理工作。</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rPr>
      </w:pPr>
      <w:r>
        <w:rPr>
          <w:rFonts w:hint="eastAsia" w:ascii="方正仿宋_GBK" w:hAnsi="方正仿宋_GBK" w:eastAsia="方正仿宋_GBK" w:cs="方正仿宋_GBK"/>
          <w:sz w:val="31"/>
          <w:szCs w:val="31"/>
          <w:lang w:val="en-US" w:eastAsia="zh-CN"/>
        </w:rPr>
        <w:t>5、</w:t>
      </w:r>
      <w:r>
        <w:rPr>
          <w:rFonts w:hint="eastAsia" w:ascii="方正仿宋_GBK" w:hAnsi="方正仿宋_GBK" w:eastAsia="方正仿宋_GBK" w:cs="方正仿宋_GBK"/>
          <w:sz w:val="31"/>
          <w:szCs w:val="31"/>
        </w:rPr>
        <w:t>配合有关部门做好防汛、防风、防火、防震、抢险和防灾救灾工作。</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eastAsia="zh-CN"/>
        </w:rPr>
      </w:pPr>
      <w:r>
        <w:rPr>
          <w:rFonts w:hint="eastAsia" w:ascii="方正仿宋_GBK" w:hAnsi="方正仿宋_GBK" w:eastAsia="方正仿宋_GBK" w:cs="方正仿宋_GBK"/>
          <w:sz w:val="31"/>
          <w:szCs w:val="31"/>
          <w:lang w:val="en-US" w:eastAsia="zh-CN"/>
        </w:rPr>
        <w:t>6、</w:t>
      </w:r>
      <w:r>
        <w:rPr>
          <w:rFonts w:hint="eastAsia" w:ascii="方正仿宋_GBK" w:hAnsi="方正仿宋_GBK" w:eastAsia="方正仿宋_GBK" w:cs="方正仿宋_GBK"/>
          <w:sz w:val="31"/>
          <w:szCs w:val="31"/>
        </w:rPr>
        <w:t>会同有关部门做好本辖区综治工作</w:t>
      </w:r>
      <w:r>
        <w:rPr>
          <w:rFonts w:hint="eastAsia" w:ascii="方正仿宋_GBK" w:hAnsi="方正仿宋_GBK" w:eastAsia="方正仿宋_GBK" w:cs="方正仿宋_GBK"/>
          <w:sz w:val="31"/>
          <w:szCs w:val="31"/>
          <w:lang w:eastAsia="zh-CN"/>
        </w:rPr>
        <w:t>。</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7、负责辖区内市容市貌和环境卫生的日常管理工作，</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发动辖区单位和群众保护环境，开展爱国卫生运动;</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8、指导和帮助居民委员会的工作，调解解决行政事务、社会管理和公共服务方面的问题，促进居民委员会的依法建设。</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9、协助武装部门做好国防动员、民兵训练和公民服兵役工作;维护老年人、妇女、青少年、儿童和残疾人的合法权益。</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10、指导和帮助居民委员会的工作，解决行政事务、社会管理和公共服务方面的问题，促进居民委员会的依法建设。</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11、动员和领导居民及各单位、各部门开展社区建设工作;制定并实施社区建设规划和年度计划;</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12、向市党委、市政府反映居民群众的意见和要求，办理人民群众的来信来访等事项。</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sz w:val="31"/>
          <w:szCs w:val="31"/>
          <w:lang w:val="en-US" w:eastAsia="zh-CN"/>
        </w:rPr>
      </w:pPr>
      <w:r>
        <w:rPr>
          <w:rFonts w:hint="eastAsia" w:ascii="方正仿宋_GBK" w:hAnsi="方正仿宋_GBK" w:eastAsia="方正仿宋_GBK" w:cs="方正仿宋_GBK"/>
          <w:sz w:val="31"/>
          <w:szCs w:val="31"/>
          <w:lang w:val="en-US" w:eastAsia="zh-CN"/>
        </w:rPr>
        <w:t>13、做好疫情防控工作。</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sz w:val="31"/>
          <w:szCs w:val="31"/>
          <w:lang w:val="en-US" w:eastAsia="zh-CN"/>
        </w:rPr>
        <w:t>14、承办市党委、市政府交办的其他事项。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4" w:name="_Toc31238"/>
      <w:bookmarkStart w:id="5" w:name="_Toc2151"/>
      <w:r>
        <w:rPr>
          <w:rFonts w:hint="eastAsia" w:ascii="方正黑体_GBK" w:hAnsi="方正黑体_GBK" w:eastAsia="方正黑体_GBK" w:cs="方正黑体_GBK"/>
          <w:bCs/>
          <w:color w:val="auto"/>
          <w:kern w:val="0"/>
          <w:sz w:val="31"/>
          <w:szCs w:val="31"/>
          <w:highlight w:val="none"/>
        </w:rPr>
        <w:t>二、机构设置</w:t>
      </w:r>
      <w:r>
        <w:rPr>
          <w:rFonts w:hint="eastAsia" w:ascii="方正黑体_GBK" w:hAnsi="方正黑体_GBK" w:eastAsia="方正黑体_GBK" w:cs="方正黑体_GBK"/>
          <w:bCs/>
          <w:color w:val="auto"/>
          <w:kern w:val="0"/>
          <w:sz w:val="31"/>
          <w:szCs w:val="31"/>
          <w:highlight w:val="none"/>
          <w:lang w:eastAsia="zh-CN"/>
        </w:rPr>
        <w:t>及</w:t>
      </w:r>
      <w:bookmarkEnd w:id="4"/>
      <w:r>
        <w:rPr>
          <w:rFonts w:hint="eastAsia" w:ascii="方正黑体_GBK" w:hAnsi="方正黑体_GBK" w:eastAsia="方正黑体_GBK" w:cs="方正黑体_GBK"/>
          <w:bCs/>
          <w:color w:val="auto"/>
          <w:kern w:val="0"/>
          <w:sz w:val="31"/>
          <w:szCs w:val="31"/>
          <w:highlight w:val="none"/>
          <w:lang w:eastAsia="zh-CN"/>
        </w:rPr>
        <w:t>人员</w:t>
      </w:r>
      <w:r>
        <w:rPr>
          <w:rFonts w:hint="eastAsia" w:ascii="方正黑体_GBK" w:hAnsi="方正黑体_GBK" w:eastAsia="方正黑体_GBK" w:cs="方正黑体_GBK"/>
          <w:bCs/>
          <w:color w:val="auto"/>
          <w:kern w:val="0"/>
          <w:sz w:val="31"/>
          <w:szCs w:val="31"/>
          <w:highlight w:val="none"/>
        </w:rPr>
        <w:t>情况</w:t>
      </w:r>
      <w:bookmarkEnd w:id="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b/>
          <w:color w:val="auto"/>
          <w:sz w:val="31"/>
          <w:szCs w:val="31"/>
          <w:highlight w:val="none"/>
        </w:rPr>
      </w:pPr>
      <w:r>
        <w:rPr>
          <w:rFonts w:hint="eastAsia" w:ascii="方正仿宋_GBK" w:hAnsi="方正仿宋_GBK" w:eastAsia="方正仿宋_GBK" w:cs="方正仿宋_GBK"/>
          <w:color w:val="auto"/>
          <w:sz w:val="31"/>
          <w:szCs w:val="31"/>
          <w:highlight w:val="none"/>
          <w:lang w:val="en-US" w:eastAsia="zh-CN"/>
        </w:rPr>
        <w:t>库尔勒市永安街道办事处</w:t>
      </w:r>
      <w:r>
        <w:rPr>
          <w:rFonts w:hint="eastAsia" w:ascii="方正仿宋_GBK" w:hAnsi="方正仿宋_GBK" w:eastAsia="方正仿宋_GBK" w:cs="方正仿宋_GBK"/>
          <w:color w:val="auto"/>
          <w:sz w:val="31"/>
          <w:szCs w:val="31"/>
          <w:highlight w:val="none"/>
          <w:lang w:eastAsia="zh-CN"/>
        </w:rPr>
        <w:t>2023年度，</w:t>
      </w:r>
      <w:r>
        <w:rPr>
          <w:rFonts w:hint="eastAsia" w:ascii="方正仿宋_GBK" w:hAnsi="方正仿宋_GBK" w:eastAsia="方正仿宋_GBK" w:cs="方正仿宋_GBK"/>
          <w:color w:val="auto"/>
          <w:sz w:val="31"/>
          <w:szCs w:val="31"/>
          <w:highlight w:val="none"/>
        </w:rPr>
        <w:t>实有人数</w:t>
      </w:r>
      <w:r>
        <w:rPr>
          <w:rFonts w:hint="eastAsia" w:ascii="方正仿宋_GBK" w:hAnsi="方正仿宋_GBK" w:eastAsia="方正仿宋_GBK" w:cs="方正仿宋_GBK"/>
          <w:color w:val="auto"/>
          <w:sz w:val="31"/>
          <w:szCs w:val="31"/>
          <w:highlight w:val="none"/>
          <w:lang w:val="zh-CN" w:eastAsia="zh-CN"/>
        </w:rPr>
        <w:t>40</w:t>
      </w:r>
      <w:r>
        <w:rPr>
          <w:rFonts w:hint="eastAsia" w:ascii="方正仿宋_GBK" w:hAnsi="方正仿宋_GBK" w:eastAsia="方正仿宋_GBK" w:cs="方正仿宋_GBK"/>
          <w:color w:val="auto"/>
          <w:sz w:val="31"/>
          <w:szCs w:val="31"/>
          <w:highlight w:val="none"/>
        </w:rPr>
        <w:t>人，其中：在职人员</w:t>
      </w:r>
      <w:r>
        <w:rPr>
          <w:rFonts w:hint="eastAsia" w:ascii="方正仿宋_GBK" w:hAnsi="方正仿宋_GBK" w:eastAsia="方正仿宋_GBK" w:cs="方正仿宋_GBK"/>
          <w:color w:val="auto"/>
          <w:sz w:val="31"/>
          <w:szCs w:val="31"/>
          <w:highlight w:val="none"/>
          <w:lang w:val="zh-CN" w:eastAsia="zh-CN"/>
        </w:rPr>
        <w:t>39</w:t>
      </w:r>
      <w:r>
        <w:rPr>
          <w:rFonts w:hint="eastAsia" w:ascii="方正仿宋_GBK" w:hAnsi="方正仿宋_GBK" w:eastAsia="方正仿宋_GBK" w:cs="方正仿宋_GBK"/>
          <w:color w:val="auto"/>
          <w:sz w:val="31"/>
          <w:szCs w:val="31"/>
          <w:highlight w:val="none"/>
        </w:rPr>
        <w:t>人</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离休人员</w:t>
      </w:r>
      <w:r>
        <w:rPr>
          <w:rFonts w:hint="eastAsia" w:ascii="方正仿宋_GBK" w:hAnsi="方正仿宋_GBK" w:eastAsia="方正仿宋_GBK" w:cs="方正仿宋_GBK"/>
          <w:color w:val="auto"/>
          <w:sz w:val="31"/>
          <w:szCs w:val="31"/>
          <w:highlight w:val="none"/>
          <w:lang w:val="zh-CN" w:eastAsia="zh-CN"/>
        </w:rPr>
        <w:t>0</w:t>
      </w:r>
      <w:r>
        <w:rPr>
          <w:rFonts w:hint="eastAsia" w:ascii="方正仿宋_GBK" w:hAnsi="方正仿宋_GBK" w:eastAsia="方正仿宋_GBK" w:cs="方正仿宋_GBK"/>
          <w:color w:val="auto"/>
          <w:sz w:val="31"/>
          <w:szCs w:val="31"/>
          <w:highlight w:val="none"/>
        </w:rPr>
        <w:t>人，退休人员</w:t>
      </w:r>
      <w:r>
        <w:rPr>
          <w:rFonts w:hint="eastAsia" w:ascii="方正仿宋_GBK" w:hAnsi="方正仿宋_GBK" w:eastAsia="方正仿宋_GBK" w:cs="方正仿宋_GBK"/>
          <w:color w:val="auto"/>
          <w:sz w:val="31"/>
          <w:szCs w:val="31"/>
          <w:highlight w:val="none"/>
          <w:lang w:val="zh-CN" w:eastAsia="zh-CN"/>
        </w:rPr>
        <w:t>1</w:t>
      </w:r>
      <w:r>
        <w:rPr>
          <w:rFonts w:hint="eastAsia" w:ascii="方正仿宋_GBK" w:hAnsi="方正仿宋_GBK" w:eastAsia="方正仿宋_GBK" w:cs="方正仿宋_GBK"/>
          <w:color w:val="auto"/>
          <w:sz w:val="31"/>
          <w:szCs w:val="31"/>
          <w:highlight w:val="none"/>
        </w:rPr>
        <w:t>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sectPr>
          <w:footerReference r:id="rId3" w:type="default"/>
          <w:pgSz w:w="11906" w:h="16838"/>
          <w:pgMar w:top="1928" w:right="1474" w:bottom="1474" w:left="1474" w:header="851" w:footer="992" w:gutter="0"/>
          <w:pgNumType w:fmt="decimal" w:start="1"/>
          <w:cols w:space="720" w:num="1"/>
          <w:rtlGutter w:val="0"/>
          <w:docGrid w:type="lines" w:linePitch="312" w:charSpace="0"/>
        </w:sectPr>
      </w:pPr>
      <w:bookmarkStart w:id="6" w:name="_Toc3092"/>
      <w:bookmarkStart w:id="7" w:name="_Toc29374"/>
      <w:r>
        <w:rPr>
          <w:rFonts w:hint="eastAsia" w:ascii="Times New Roman" w:hAnsi="Times New Roman" w:eastAsia="方正仿宋_GBK" w:cs="Times New Roman"/>
          <w:bCs/>
          <w:kern w:val="0"/>
          <w:sz w:val="31"/>
          <w:szCs w:val="31"/>
          <w:highlight w:val="none"/>
          <w:lang w:val="en-US" w:eastAsia="zh-CN" w:bidi="ar-SA"/>
        </w:rPr>
        <w:t>单位无下属预算单位，下设6个处室，分别是：党建办公室、综合协调办公室、综合执法办公室、党群服务中心、社会事务（统计）服务中心（退役军人服务站）、综治中心（网格化服务中心）。</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黑体" w:hAnsi="黑体" w:eastAsia="黑体"/>
          <w:color w:val="auto"/>
          <w:sz w:val="32"/>
          <w:szCs w:val="32"/>
          <w:highlight w:val="none"/>
        </w:rPr>
      </w:pPr>
      <w:r>
        <w:rPr>
          <w:rFonts w:hint="eastAsia" w:ascii="方正小标宋_GBK" w:hAnsi="方正小标宋_GBK" w:eastAsia="方正小标宋_GBK" w:cs="方正小标宋_GBK"/>
          <w:color w:val="auto"/>
          <w:sz w:val="31"/>
          <w:szCs w:val="31"/>
          <w:highlight w:val="none"/>
        </w:rPr>
        <w:t>第</w:t>
      </w:r>
      <w:r>
        <w:rPr>
          <w:rFonts w:hint="eastAsia" w:ascii="方正小标宋_GBK" w:hAnsi="方正小标宋_GBK" w:eastAsia="方正小标宋_GBK" w:cs="方正小标宋_GBK"/>
          <w:color w:val="auto"/>
          <w:sz w:val="31"/>
          <w:szCs w:val="31"/>
          <w:highlight w:val="none"/>
          <w:lang w:val="en-US" w:eastAsia="zh-CN"/>
        </w:rPr>
        <w:t>二</w:t>
      </w:r>
      <w:r>
        <w:rPr>
          <w:rFonts w:hint="eastAsia" w:ascii="方正小标宋_GBK" w:hAnsi="方正小标宋_GBK" w:eastAsia="方正小标宋_GBK" w:cs="方正小标宋_GBK"/>
          <w:color w:val="auto"/>
          <w:sz w:val="31"/>
          <w:szCs w:val="31"/>
          <w:highlight w:val="none"/>
        </w:rPr>
        <w:t>部分 部门决算情况说明</w:t>
      </w:r>
      <w:bookmarkEnd w:id="6"/>
      <w:bookmarkEnd w:id="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8" w:name="_Toc12566"/>
      <w:bookmarkStart w:id="9" w:name="_Toc25314"/>
      <w:r>
        <w:rPr>
          <w:rFonts w:hint="eastAsia" w:ascii="方正黑体_GBK" w:hAnsi="方正黑体_GBK" w:eastAsia="方正黑体_GBK" w:cs="方正黑体_GBK"/>
          <w:bCs/>
          <w:color w:val="auto"/>
          <w:kern w:val="0"/>
          <w:sz w:val="31"/>
          <w:szCs w:val="31"/>
          <w:highlight w:val="none"/>
        </w:rPr>
        <w:t>一、收入支出决算总体情况说明</w:t>
      </w:r>
      <w:bookmarkEnd w:id="8"/>
      <w:bookmarkEnd w:id="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方正仿宋_GBK" w:hAnsi="方正仿宋_GBK" w:eastAsia="方正仿宋_GBK" w:cs="方正仿宋_GBK"/>
          <w:color w:val="auto"/>
          <w:spacing w:val="0"/>
          <w:sz w:val="31"/>
          <w:szCs w:val="31"/>
          <w:highlight w:val="none"/>
          <w:lang w:eastAsia="zh-CN"/>
        </w:rPr>
        <w:t>2023年度</w:t>
      </w:r>
      <w:r>
        <w:rPr>
          <w:rFonts w:hint="eastAsia" w:ascii="方正仿宋_GBK" w:hAnsi="方正仿宋_GBK" w:eastAsia="方正仿宋_GBK" w:cs="方正仿宋_GBK"/>
          <w:color w:val="auto"/>
          <w:spacing w:val="0"/>
          <w:sz w:val="31"/>
          <w:szCs w:val="31"/>
          <w:highlight w:val="none"/>
          <w:lang w:val="en-US" w:eastAsia="zh-CN"/>
        </w:rPr>
        <w:t>收入总计</w:t>
      </w:r>
      <w:r>
        <w:rPr>
          <w:rFonts w:hint="eastAsia" w:ascii="方正仿宋_GBK" w:hAnsi="方正仿宋_GBK" w:eastAsia="方正仿宋_GBK" w:cs="方正仿宋_GBK"/>
          <w:color w:val="auto"/>
          <w:spacing w:val="0"/>
          <w:sz w:val="31"/>
          <w:szCs w:val="31"/>
          <w:highlight w:val="none"/>
          <w:lang w:eastAsia="zh-CN"/>
        </w:rPr>
        <w:t>1,290.95万元，</w:t>
      </w:r>
      <w:r>
        <w:rPr>
          <w:rFonts w:hint="eastAsia" w:ascii="方正仿宋_GBK" w:hAnsi="方正仿宋_GBK" w:eastAsia="方正仿宋_GBK" w:cs="方正仿宋_GBK"/>
          <w:color w:val="auto"/>
          <w:spacing w:val="0"/>
          <w:sz w:val="31"/>
          <w:szCs w:val="31"/>
          <w:highlight w:val="none"/>
          <w:lang w:val="en-US" w:eastAsia="zh-CN"/>
        </w:rPr>
        <w:t>其中：本年收入合计</w:t>
      </w:r>
      <w:r>
        <w:rPr>
          <w:rFonts w:hint="eastAsia" w:ascii="方正仿宋_GBK" w:hAnsi="方正仿宋_GBK" w:eastAsia="方正仿宋_GBK" w:cs="方正仿宋_GBK"/>
          <w:color w:val="auto"/>
          <w:spacing w:val="0"/>
          <w:sz w:val="31"/>
          <w:szCs w:val="31"/>
          <w:highlight w:val="none"/>
          <w:lang w:eastAsia="zh-CN"/>
        </w:rPr>
        <w:t>1,290.95万元，使用非财政拨款结余0.00万元，年初结转和结余0.00万元。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方正仿宋_GBK" w:hAnsi="方正仿宋_GBK" w:eastAsia="方正仿宋_GBK" w:cs="方正仿宋_GBK"/>
          <w:color w:val="auto"/>
          <w:spacing w:val="0"/>
          <w:sz w:val="31"/>
          <w:szCs w:val="31"/>
          <w:highlight w:val="none"/>
          <w:lang w:val="en-US" w:eastAsia="zh-CN"/>
        </w:rPr>
        <w:t>2023</w:t>
      </w:r>
      <w:r>
        <w:rPr>
          <w:rFonts w:hint="eastAsia" w:ascii="方正仿宋_GBK" w:hAnsi="方正仿宋_GBK" w:eastAsia="方正仿宋_GBK" w:cs="方正仿宋_GBK"/>
          <w:color w:val="auto"/>
          <w:spacing w:val="0"/>
          <w:sz w:val="31"/>
          <w:szCs w:val="31"/>
          <w:highlight w:val="none"/>
          <w:lang w:eastAsia="zh-CN"/>
        </w:rPr>
        <w:t>年</w:t>
      </w:r>
      <w:r>
        <w:rPr>
          <w:rFonts w:hint="eastAsia" w:ascii="方正仿宋_GBK" w:hAnsi="方正仿宋_GBK" w:eastAsia="方正仿宋_GBK" w:cs="方正仿宋_GBK"/>
          <w:color w:val="auto"/>
          <w:spacing w:val="0"/>
          <w:sz w:val="31"/>
          <w:szCs w:val="31"/>
          <w:highlight w:val="none"/>
          <w:lang w:val="en-US" w:eastAsia="zh-CN"/>
        </w:rPr>
        <w:t>度</w:t>
      </w:r>
      <w:r>
        <w:rPr>
          <w:rFonts w:hint="eastAsia" w:ascii="方正仿宋_GBK" w:hAnsi="方正仿宋_GBK" w:eastAsia="方正仿宋_GBK" w:cs="方正仿宋_GBK"/>
          <w:color w:val="auto"/>
          <w:spacing w:val="0"/>
          <w:sz w:val="31"/>
          <w:szCs w:val="31"/>
          <w:highlight w:val="none"/>
          <w:lang w:eastAsia="zh-CN"/>
        </w:rPr>
        <w:t>支出</w:t>
      </w:r>
      <w:r>
        <w:rPr>
          <w:rFonts w:hint="eastAsia" w:ascii="方正仿宋_GBK" w:hAnsi="方正仿宋_GBK" w:eastAsia="方正仿宋_GBK" w:cs="方正仿宋_GBK"/>
          <w:color w:val="auto"/>
          <w:spacing w:val="0"/>
          <w:sz w:val="31"/>
          <w:szCs w:val="31"/>
          <w:highlight w:val="none"/>
          <w:lang w:val="en-US" w:eastAsia="zh-CN"/>
        </w:rPr>
        <w:t>总计</w:t>
      </w:r>
      <w:r>
        <w:rPr>
          <w:rFonts w:hint="eastAsia" w:ascii="方正仿宋_GBK" w:hAnsi="方正仿宋_GBK" w:eastAsia="方正仿宋_GBK" w:cs="方正仿宋_GBK"/>
          <w:color w:val="auto"/>
          <w:spacing w:val="0"/>
          <w:sz w:val="31"/>
          <w:szCs w:val="31"/>
          <w:highlight w:val="none"/>
          <w:lang w:eastAsia="zh-CN"/>
        </w:rPr>
        <w:t>1,290.95万元，</w:t>
      </w:r>
      <w:r>
        <w:rPr>
          <w:rFonts w:hint="eastAsia" w:ascii="方正仿宋_GBK" w:hAnsi="方正仿宋_GBK" w:eastAsia="方正仿宋_GBK" w:cs="方正仿宋_GBK"/>
          <w:color w:val="auto"/>
          <w:spacing w:val="0"/>
          <w:sz w:val="31"/>
          <w:szCs w:val="31"/>
          <w:highlight w:val="none"/>
          <w:lang w:val="en-US" w:eastAsia="zh-CN"/>
        </w:rPr>
        <w:t>其中：本年支出合计</w:t>
      </w:r>
      <w:r>
        <w:rPr>
          <w:rFonts w:hint="eastAsia" w:ascii="方正仿宋_GBK" w:hAnsi="方正仿宋_GBK" w:eastAsia="方正仿宋_GBK" w:cs="方正仿宋_GBK"/>
          <w:color w:val="auto"/>
          <w:spacing w:val="0"/>
          <w:sz w:val="31"/>
          <w:szCs w:val="31"/>
          <w:highlight w:val="none"/>
          <w:lang w:eastAsia="zh-CN"/>
        </w:rPr>
        <w:t>1,290.95万元，</w:t>
      </w:r>
      <w:r>
        <w:rPr>
          <w:rFonts w:hint="eastAsia" w:ascii="方正仿宋_GBK" w:hAnsi="方正仿宋_GBK" w:eastAsia="方正仿宋_GBK" w:cs="方正仿宋_GBK"/>
          <w:color w:val="auto"/>
          <w:spacing w:val="0"/>
          <w:sz w:val="31"/>
          <w:szCs w:val="31"/>
          <w:highlight w:val="none"/>
          <w:lang w:val="en-US" w:eastAsia="zh-CN"/>
        </w:rPr>
        <w:t>结余分配</w:t>
      </w:r>
      <w:r>
        <w:rPr>
          <w:rFonts w:hint="eastAsia" w:ascii="方正仿宋_GBK" w:hAnsi="方正仿宋_GBK" w:eastAsia="方正仿宋_GBK" w:cs="方正仿宋_GBK"/>
          <w:color w:val="auto"/>
          <w:spacing w:val="0"/>
          <w:sz w:val="31"/>
          <w:szCs w:val="31"/>
          <w:highlight w:val="none"/>
          <w:lang w:eastAsia="zh-CN"/>
        </w:rPr>
        <w:t>0.00万元，年末结转和结余0.00万元。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方正仿宋_GBK" w:hAnsi="方正仿宋_GBK" w:eastAsia="方正仿宋_GBK" w:cs="方正仿宋_GBK"/>
          <w:color w:val="auto"/>
          <w:spacing w:val="0"/>
          <w:sz w:val="31"/>
          <w:szCs w:val="31"/>
          <w:highlight w:val="none"/>
          <w:lang w:val="en-US" w:eastAsia="zh-CN"/>
        </w:rPr>
        <w:t>收入支出总体与上年相比</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减少47.50万元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zh-CN" w:eastAsia="zh-CN"/>
        </w:rPr>
        <w:t>下降3.55%，</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bCs/>
          <w:kern w:val="0"/>
          <w:sz w:val="31"/>
          <w:szCs w:val="31"/>
          <w:highlight w:val="none"/>
          <w:lang w:val="zh-CN" w:eastAsia="zh-CN" w:bidi="ar-SA"/>
        </w:rPr>
        <w:t>2023年长期聘用人员比上年减少</w:t>
      </w:r>
      <w:r>
        <w:rPr>
          <w:rFonts w:hint="eastAsia" w:ascii="方正仿宋_GBK" w:hAnsi="方正仿宋_GBK" w:eastAsia="方正仿宋_GBK" w:cs="方正仿宋_GBK"/>
          <w:bCs/>
          <w:kern w:val="0"/>
          <w:sz w:val="31"/>
          <w:szCs w:val="31"/>
          <w:highlight w:val="none"/>
          <w:lang w:val="en-US" w:eastAsia="zh-CN" w:bidi="ar-SA"/>
        </w:rPr>
        <w:t>18</w:t>
      </w:r>
      <w:r>
        <w:rPr>
          <w:rFonts w:hint="eastAsia" w:ascii="方正仿宋_GBK" w:hAnsi="方正仿宋_GBK" w:eastAsia="方正仿宋_GBK" w:cs="方正仿宋_GBK"/>
          <w:bCs/>
          <w:kern w:val="0"/>
          <w:sz w:val="31"/>
          <w:szCs w:val="31"/>
          <w:highlight w:val="none"/>
          <w:lang w:val="zh-CN" w:eastAsia="zh-CN" w:bidi="ar-SA"/>
        </w:rPr>
        <w:t>人</w:t>
      </w:r>
      <w:r>
        <w:rPr>
          <w:rFonts w:hint="eastAsia" w:ascii="方正仿宋_GBK" w:hAnsi="方正仿宋_GBK" w:eastAsia="方正仿宋_GBK" w:cs="方正仿宋_GBK"/>
          <w:color w:val="auto"/>
          <w:spacing w:val="0"/>
          <w:sz w:val="31"/>
          <w:szCs w:val="31"/>
          <w:highlight w:val="none"/>
          <w:lang w:val="en-US" w:eastAsia="zh-CN"/>
        </w:rPr>
        <w:t>，</w:t>
      </w:r>
      <w:r>
        <w:rPr>
          <w:rFonts w:hint="eastAsia" w:ascii="方正仿宋_GBK" w:hAnsi="方正仿宋_GBK" w:eastAsia="方正仿宋_GBK" w:cs="方正仿宋_GBK"/>
          <w:sz w:val="31"/>
          <w:szCs w:val="31"/>
          <w:lang w:val="en-US" w:eastAsia="zh-CN"/>
        </w:rPr>
        <w:t>因此本年度收入支出相比上年下降</w:t>
      </w:r>
      <w:r>
        <w:rPr>
          <w:rFonts w:hint="eastAsia" w:ascii="方正仿宋_GBK" w:hAnsi="方正仿宋_GBK" w:eastAsia="方正仿宋_GBK" w:cs="方正仿宋_GBK"/>
          <w:color w:val="auto"/>
          <w:spacing w:val="0"/>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2"/>
          <w:szCs w:val="32"/>
          <w:highlight w:val="none"/>
        </w:rPr>
      </w:pPr>
      <w:bookmarkStart w:id="10" w:name="_Toc1979"/>
      <w:bookmarkStart w:id="11" w:name="_Toc12142"/>
      <w:r>
        <w:rPr>
          <w:rFonts w:hint="eastAsia" w:ascii="方正黑体_GBK" w:hAnsi="方正黑体_GBK" w:eastAsia="方正黑体_GBK" w:cs="方正黑体_GBK"/>
          <w:bCs/>
          <w:color w:val="auto"/>
          <w:kern w:val="0"/>
          <w:sz w:val="31"/>
          <w:szCs w:val="31"/>
          <w:highlight w:val="none"/>
          <w:lang w:eastAsia="zh-CN"/>
        </w:rPr>
        <w:t>二、</w:t>
      </w:r>
      <w:r>
        <w:rPr>
          <w:rFonts w:hint="eastAsia" w:ascii="方正黑体_GBK" w:hAnsi="方正黑体_GBK" w:eastAsia="方正黑体_GBK" w:cs="方正黑体_GBK"/>
          <w:bCs/>
          <w:color w:val="auto"/>
          <w:kern w:val="0"/>
          <w:sz w:val="31"/>
          <w:szCs w:val="31"/>
          <w:highlight w:val="none"/>
        </w:rPr>
        <w:t>收入</w:t>
      </w:r>
      <w:r>
        <w:rPr>
          <w:rFonts w:hint="eastAsia" w:ascii="方正黑体_GBK" w:hAnsi="方正黑体_GBK" w:eastAsia="方正黑体_GBK" w:cs="方正黑体_GBK"/>
          <w:bCs/>
          <w:color w:val="auto"/>
          <w:kern w:val="0"/>
          <w:sz w:val="31"/>
          <w:szCs w:val="31"/>
          <w:highlight w:val="none"/>
          <w:lang w:eastAsia="zh-CN"/>
        </w:rPr>
        <w:t>决算</w:t>
      </w:r>
      <w:r>
        <w:rPr>
          <w:rFonts w:hint="eastAsia" w:ascii="方正黑体_GBK" w:hAnsi="方正黑体_GBK" w:eastAsia="方正黑体_GBK" w:cs="方正黑体_GBK"/>
          <w:bCs/>
          <w:color w:val="auto"/>
          <w:kern w:val="0"/>
          <w:sz w:val="31"/>
          <w:szCs w:val="31"/>
          <w:highlight w:val="none"/>
        </w:rPr>
        <w:t>情况说明</w:t>
      </w:r>
      <w:bookmarkEnd w:id="10"/>
      <w:bookmarkEnd w:id="1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仿宋_GBK" w:hAnsi="方正仿宋_GBK" w:eastAsia="方正仿宋_GBK" w:cs="方正仿宋_GBK"/>
          <w:color w:val="auto"/>
          <w:sz w:val="31"/>
          <w:szCs w:val="31"/>
          <w:highlight w:val="none"/>
        </w:rPr>
        <w:t>本年收入</w:t>
      </w:r>
      <w:r>
        <w:rPr>
          <w:rFonts w:hint="eastAsia" w:ascii="方正仿宋_GBK" w:hAnsi="方正仿宋_GBK" w:eastAsia="方正仿宋_GBK" w:cs="方正仿宋_GBK"/>
          <w:color w:val="auto"/>
          <w:sz w:val="31"/>
          <w:szCs w:val="31"/>
          <w:highlight w:val="none"/>
          <w:lang w:eastAsia="zh-CN"/>
        </w:rPr>
        <w:t>1,290.95</w:t>
      </w:r>
      <w:r>
        <w:rPr>
          <w:rFonts w:hint="eastAsia" w:ascii="方正仿宋_GBK" w:hAnsi="方正仿宋_GBK" w:eastAsia="方正仿宋_GBK" w:cs="方正仿宋_GBK"/>
          <w:color w:val="auto"/>
          <w:sz w:val="31"/>
          <w:szCs w:val="31"/>
          <w:highlight w:val="none"/>
        </w:rPr>
        <w:t>万元，其中：财政拨款收入</w:t>
      </w:r>
      <w:r>
        <w:rPr>
          <w:rFonts w:hint="eastAsia" w:ascii="方正仿宋_GBK" w:hAnsi="方正仿宋_GBK" w:eastAsia="方正仿宋_GBK" w:cs="方正仿宋_GBK"/>
          <w:color w:val="auto"/>
          <w:sz w:val="31"/>
          <w:szCs w:val="31"/>
          <w:highlight w:val="none"/>
          <w:lang w:val="zh-CN"/>
        </w:rPr>
        <w:t>1,290.95</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100.00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；上级补助收入</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；事业收入</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；经营收入</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w:t>
      </w:r>
      <w:r>
        <w:rPr>
          <w:rFonts w:hint="eastAsia" w:ascii="方正仿宋_GBK" w:hAnsi="方正仿宋_GBK" w:eastAsia="方正仿宋_GBK" w:cs="方正仿宋_GBK"/>
          <w:color w:val="auto"/>
          <w:sz w:val="31"/>
          <w:szCs w:val="31"/>
          <w:highlight w:val="none"/>
          <w:lang w:eastAsia="zh-CN"/>
        </w:rPr>
        <w:t>附属单位上缴收入</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；其他收入</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rPr>
        <w:t>万元，占</w:t>
      </w:r>
      <w:r>
        <w:rPr>
          <w:rFonts w:hint="eastAsia" w:ascii="方正仿宋_GBK" w:hAnsi="方正仿宋_GBK" w:eastAsia="方正仿宋_GBK" w:cs="方正仿宋_GBK"/>
          <w:color w:val="auto"/>
          <w:sz w:val="31"/>
          <w:szCs w:val="31"/>
          <w:highlight w:val="none"/>
          <w:lang w:val="zh-CN"/>
        </w:rPr>
        <w:t>0.00</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2" w:name="_Toc27961"/>
      <w:bookmarkStart w:id="13" w:name="_Toc13201"/>
      <w:r>
        <w:rPr>
          <w:rFonts w:hint="eastAsia" w:ascii="方正黑体_GBK" w:hAnsi="方正黑体_GBK" w:eastAsia="方正黑体_GBK" w:cs="方正黑体_GBK"/>
          <w:bCs/>
          <w:color w:val="auto"/>
          <w:kern w:val="0"/>
          <w:sz w:val="31"/>
          <w:szCs w:val="31"/>
          <w:highlight w:val="none"/>
          <w:lang w:eastAsia="zh-CN"/>
        </w:rPr>
        <w:t>三、支出决算情况说明</w:t>
      </w:r>
      <w:bookmarkEnd w:id="12"/>
      <w:bookmarkEnd w:id="1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本年支出1,290.95万元，其中：基本支出1,188.14万元，占92.04%；项目支出102.81万元，占7.96%；上缴上级支出0.00万元，占0.00%；经营支出0.00万元，占0.00%；对附属单位补助支出0.00万元，占0.00%。</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2"/>
          <w:szCs w:val="32"/>
          <w:highlight w:val="none"/>
          <w:lang w:eastAsia="zh-CN"/>
        </w:rPr>
      </w:pPr>
      <w:bookmarkStart w:id="14" w:name="_Toc4393"/>
      <w:bookmarkStart w:id="15" w:name="_Toc26564"/>
      <w:r>
        <w:rPr>
          <w:rFonts w:hint="eastAsia" w:ascii="方正黑体_GBK" w:hAnsi="方正黑体_GBK" w:eastAsia="方正黑体_GBK" w:cs="方正黑体_GBK"/>
          <w:bCs/>
          <w:color w:val="auto"/>
          <w:kern w:val="0"/>
          <w:sz w:val="31"/>
          <w:szCs w:val="31"/>
          <w:highlight w:val="none"/>
          <w:lang w:eastAsia="zh-CN"/>
        </w:rPr>
        <w:t>四、财政拨款收入支出决算总体情况说明</w:t>
      </w:r>
      <w:bookmarkEnd w:id="14"/>
      <w:bookmarkEnd w:id="1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eastAsia="zh-CN"/>
        </w:rPr>
      </w:pPr>
      <w:r>
        <w:rPr>
          <w:rFonts w:hint="eastAsia" w:ascii="方正仿宋_GBK" w:hAnsi="方正仿宋_GBK" w:eastAsia="方正仿宋_GBK" w:cs="方正仿宋_GBK"/>
          <w:color w:val="auto"/>
          <w:spacing w:val="0"/>
          <w:sz w:val="31"/>
          <w:szCs w:val="31"/>
          <w:highlight w:val="none"/>
          <w:lang w:eastAsia="zh-CN"/>
        </w:rPr>
        <w:t>2023年度财政拨款收入</w:t>
      </w:r>
      <w:r>
        <w:rPr>
          <w:rFonts w:hint="eastAsia" w:ascii="方正仿宋_GBK" w:hAnsi="方正仿宋_GBK" w:eastAsia="方正仿宋_GBK" w:cs="方正仿宋_GBK"/>
          <w:color w:val="auto"/>
          <w:spacing w:val="0"/>
          <w:sz w:val="31"/>
          <w:szCs w:val="31"/>
          <w:highlight w:val="none"/>
          <w:lang w:val="en-US" w:eastAsia="zh-CN"/>
        </w:rPr>
        <w:t>总计</w:t>
      </w:r>
      <w:r>
        <w:rPr>
          <w:rFonts w:hint="eastAsia" w:ascii="方正仿宋_GBK" w:hAnsi="方正仿宋_GBK" w:eastAsia="方正仿宋_GBK" w:cs="方正仿宋_GBK"/>
          <w:color w:val="auto"/>
          <w:spacing w:val="0"/>
          <w:sz w:val="31"/>
          <w:szCs w:val="31"/>
          <w:highlight w:val="none"/>
          <w:lang w:val="zh-CN" w:eastAsia="zh-CN"/>
        </w:rPr>
        <w:t>1,290.95</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其中：年初财政拨款结转和结余</w:t>
      </w:r>
      <w:r>
        <w:rPr>
          <w:rFonts w:hint="eastAsia" w:ascii="方正仿宋_GBK" w:hAnsi="方正仿宋_GBK" w:eastAsia="方正仿宋_GBK" w:cs="方正仿宋_GBK"/>
          <w:color w:val="auto"/>
          <w:spacing w:val="0"/>
          <w:sz w:val="31"/>
          <w:szCs w:val="31"/>
          <w:highlight w:val="none"/>
          <w:lang w:val="zh-CN" w:eastAsia="zh-CN"/>
        </w:rPr>
        <w:t>0.00</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本年财政拨款收入</w:t>
      </w:r>
      <w:r>
        <w:rPr>
          <w:rFonts w:hint="eastAsia" w:ascii="方正仿宋_GBK" w:hAnsi="方正仿宋_GBK" w:eastAsia="方正仿宋_GBK" w:cs="方正仿宋_GBK"/>
          <w:color w:val="auto"/>
          <w:spacing w:val="0"/>
          <w:sz w:val="31"/>
          <w:szCs w:val="31"/>
          <w:highlight w:val="none"/>
          <w:lang w:val="zh-CN" w:eastAsia="zh-CN"/>
        </w:rPr>
        <w:t>1,290.95</w:t>
      </w:r>
      <w:r>
        <w:rPr>
          <w:rFonts w:hint="eastAsia" w:ascii="方正仿宋_GBK" w:hAnsi="方正仿宋_GBK" w:eastAsia="方正仿宋_GBK" w:cs="方正仿宋_GBK"/>
          <w:color w:val="auto"/>
          <w:spacing w:val="0"/>
          <w:sz w:val="31"/>
          <w:szCs w:val="31"/>
          <w:highlight w:val="none"/>
          <w:lang w:eastAsia="zh-CN"/>
        </w:rPr>
        <w:t>万元。财政拨款支出</w:t>
      </w:r>
      <w:r>
        <w:rPr>
          <w:rFonts w:hint="eastAsia" w:ascii="方正仿宋_GBK" w:hAnsi="方正仿宋_GBK" w:eastAsia="方正仿宋_GBK" w:cs="方正仿宋_GBK"/>
          <w:color w:val="auto"/>
          <w:spacing w:val="0"/>
          <w:sz w:val="31"/>
          <w:szCs w:val="31"/>
          <w:highlight w:val="none"/>
          <w:lang w:val="en-US" w:eastAsia="zh-CN"/>
        </w:rPr>
        <w:t>总计</w:t>
      </w:r>
      <w:r>
        <w:rPr>
          <w:rFonts w:hint="eastAsia" w:ascii="方正仿宋_GBK" w:hAnsi="方正仿宋_GBK" w:eastAsia="方正仿宋_GBK" w:cs="方正仿宋_GBK"/>
          <w:color w:val="auto"/>
          <w:spacing w:val="0"/>
          <w:sz w:val="31"/>
          <w:szCs w:val="31"/>
          <w:highlight w:val="none"/>
          <w:lang w:val="zh-CN" w:eastAsia="zh-CN"/>
        </w:rPr>
        <w:t>1,290.95</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其中：年末财政拨款结转和结余</w:t>
      </w:r>
      <w:r>
        <w:rPr>
          <w:rFonts w:hint="eastAsia" w:ascii="方正仿宋_GBK" w:hAnsi="方正仿宋_GBK" w:eastAsia="方正仿宋_GBK" w:cs="方正仿宋_GBK"/>
          <w:color w:val="auto"/>
          <w:spacing w:val="0"/>
          <w:sz w:val="31"/>
          <w:szCs w:val="31"/>
          <w:highlight w:val="none"/>
          <w:lang w:val="zh-CN" w:eastAsia="zh-CN"/>
        </w:rPr>
        <w:t>0.00</w:t>
      </w:r>
      <w:r>
        <w:rPr>
          <w:rFonts w:hint="eastAsia" w:ascii="方正仿宋_GBK" w:hAnsi="方正仿宋_GBK" w:eastAsia="方正仿宋_GBK" w:cs="方正仿宋_GBK"/>
          <w:color w:val="auto"/>
          <w:spacing w:val="0"/>
          <w:sz w:val="31"/>
          <w:szCs w:val="31"/>
          <w:highlight w:val="none"/>
          <w:lang w:eastAsia="zh-CN"/>
        </w:rPr>
        <w:t>万元，</w:t>
      </w:r>
      <w:r>
        <w:rPr>
          <w:rFonts w:hint="eastAsia" w:ascii="方正仿宋_GBK" w:hAnsi="方正仿宋_GBK" w:eastAsia="方正仿宋_GBK" w:cs="方正仿宋_GBK"/>
          <w:color w:val="auto"/>
          <w:spacing w:val="0"/>
          <w:sz w:val="31"/>
          <w:szCs w:val="31"/>
          <w:highlight w:val="none"/>
          <w:lang w:val="en-US" w:eastAsia="zh-CN"/>
        </w:rPr>
        <w:t>本年财政拨款支出</w:t>
      </w:r>
      <w:r>
        <w:rPr>
          <w:rFonts w:hint="eastAsia" w:ascii="方正仿宋_GBK" w:hAnsi="方正仿宋_GBK" w:eastAsia="方正仿宋_GBK" w:cs="方正仿宋_GBK"/>
          <w:color w:val="auto"/>
          <w:spacing w:val="0"/>
          <w:sz w:val="31"/>
          <w:szCs w:val="31"/>
          <w:highlight w:val="none"/>
          <w:lang w:val="zh-CN" w:eastAsia="zh-CN"/>
        </w:rPr>
        <w:t>1,290.95</w:t>
      </w:r>
      <w:r>
        <w:rPr>
          <w:rFonts w:hint="eastAsia" w:ascii="方正仿宋_GBK" w:hAnsi="方正仿宋_GBK" w:eastAsia="方正仿宋_GBK" w:cs="方正仿宋_GBK"/>
          <w:color w:val="auto"/>
          <w:spacing w:val="0"/>
          <w:sz w:val="31"/>
          <w:szCs w:val="31"/>
          <w:highlight w:val="none"/>
          <w:lang w:eastAsia="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eastAsia="zh-CN"/>
        </w:rPr>
        <w:t>财政拨款收入支出总体与上年相比</w:t>
      </w:r>
      <w:r>
        <w:rPr>
          <w:rFonts w:hint="eastAsia" w:ascii="方正仿宋_GBK" w:hAnsi="方正仿宋_GBK" w:eastAsia="方正仿宋_GBK" w:cs="方正仿宋_GBK"/>
          <w:color w:val="auto"/>
          <w:spacing w:val="0"/>
          <w:sz w:val="31"/>
          <w:szCs w:val="31"/>
          <w:highlight w:val="none"/>
          <w:lang w:val="en-US" w:eastAsia="zh-CN"/>
        </w:rPr>
        <w:t>,</w:t>
      </w:r>
      <w:r>
        <w:rPr>
          <w:rFonts w:hint="eastAsia" w:ascii="方正仿宋_GBK" w:hAnsi="方正仿宋_GBK" w:eastAsia="方正仿宋_GBK" w:cs="方正仿宋_GBK"/>
          <w:color w:val="auto"/>
          <w:spacing w:val="0"/>
          <w:sz w:val="31"/>
          <w:szCs w:val="31"/>
          <w:highlight w:val="none"/>
          <w:lang w:val="zh-CN" w:eastAsia="zh-CN"/>
        </w:rPr>
        <w:t>减少47.50万元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en-US" w:eastAsia="zh-CN"/>
        </w:rPr>
        <w:t>下降3.55%,</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color w:val="auto"/>
          <w:spacing w:val="0"/>
          <w:sz w:val="31"/>
          <w:szCs w:val="31"/>
          <w:highlight w:val="none"/>
          <w:lang w:val="en-US" w:eastAsia="zh-CN"/>
        </w:rPr>
        <w:t>2023年有18名公益性岗位人员辞职，</w:t>
      </w:r>
      <w:r>
        <w:rPr>
          <w:rFonts w:hint="eastAsia" w:ascii="方正仿宋_GBK" w:hAnsi="方正仿宋_GBK" w:eastAsia="方正仿宋_GBK" w:cs="方正仿宋_GBK"/>
          <w:sz w:val="31"/>
          <w:szCs w:val="31"/>
          <w:lang w:val="en-US" w:eastAsia="zh-CN"/>
        </w:rPr>
        <w:t>因此</w:t>
      </w:r>
      <w:r>
        <w:rPr>
          <w:rFonts w:hint="eastAsia" w:ascii="方正仿宋_GBK" w:hAnsi="方正仿宋_GBK" w:eastAsia="方正仿宋_GBK" w:cs="方正仿宋_GBK"/>
          <w:color w:val="auto"/>
          <w:spacing w:val="0"/>
          <w:sz w:val="31"/>
          <w:szCs w:val="31"/>
          <w:highlight w:val="none"/>
          <w:lang w:eastAsia="zh-CN"/>
        </w:rPr>
        <w:t>财政拨款收入支出总体</w:t>
      </w:r>
      <w:r>
        <w:rPr>
          <w:rFonts w:hint="eastAsia" w:ascii="方正仿宋_GBK" w:hAnsi="方正仿宋_GBK" w:eastAsia="方正仿宋_GBK" w:cs="方正仿宋_GBK"/>
          <w:sz w:val="31"/>
          <w:szCs w:val="31"/>
          <w:lang w:val="en-US" w:eastAsia="zh-CN"/>
        </w:rPr>
        <w:t>下降</w:t>
      </w:r>
      <w:r>
        <w:rPr>
          <w:rFonts w:hint="eastAsia" w:ascii="方正仿宋_GBK" w:hAnsi="方正仿宋_GBK" w:eastAsia="方正仿宋_GBK" w:cs="方正仿宋_GBK"/>
          <w:color w:val="auto"/>
          <w:spacing w:val="0"/>
          <w:sz w:val="31"/>
          <w:szCs w:val="31"/>
          <w:highlight w:val="none"/>
          <w:lang w:eastAsia="zh-CN"/>
        </w:rPr>
        <w:t>。与年初预算相比，年初预算数</w:t>
      </w:r>
      <w:r>
        <w:rPr>
          <w:rFonts w:hint="eastAsia" w:ascii="方正仿宋_GBK" w:hAnsi="方正仿宋_GBK" w:eastAsia="方正仿宋_GBK" w:cs="方正仿宋_GBK"/>
          <w:color w:val="auto"/>
          <w:spacing w:val="0"/>
          <w:sz w:val="31"/>
          <w:szCs w:val="31"/>
          <w:highlight w:val="none"/>
          <w:lang w:val="zh-CN" w:eastAsia="zh-CN"/>
        </w:rPr>
        <w:t>1,365.32</w:t>
      </w:r>
      <w:r>
        <w:rPr>
          <w:rFonts w:hint="eastAsia" w:ascii="方正仿宋_GBK" w:hAnsi="方正仿宋_GBK" w:eastAsia="方正仿宋_GBK" w:cs="方正仿宋_GBK"/>
          <w:color w:val="auto"/>
          <w:spacing w:val="0"/>
          <w:sz w:val="31"/>
          <w:szCs w:val="31"/>
          <w:highlight w:val="none"/>
          <w:lang w:eastAsia="zh-CN"/>
        </w:rPr>
        <w:t>万元，决算数</w:t>
      </w:r>
      <w:r>
        <w:rPr>
          <w:rFonts w:hint="eastAsia" w:ascii="方正仿宋_GBK" w:hAnsi="方正仿宋_GBK" w:eastAsia="方正仿宋_GBK" w:cs="方正仿宋_GBK"/>
          <w:color w:val="auto"/>
          <w:spacing w:val="0"/>
          <w:sz w:val="31"/>
          <w:szCs w:val="31"/>
          <w:highlight w:val="none"/>
          <w:lang w:val="zh-CN" w:eastAsia="zh-CN"/>
        </w:rPr>
        <w:t>1,290.95</w:t>
      </w:r>
      <w:r>
        <w:rPr>
          <w:rFonts w:hint="eastAsia" w:ascii="方正仿宋_GBK" w:hAnsi="方正仿宋_GBK" w:eastAsia="方正仿宋_GBK" w:cs="方正仿宋_GBK"/>
          <w:color w:val="auto"/>
          <w:spacing w:val="0"/>
          <w:sz w:val="31"/>
          <w:szCs w:val="31"/>
          <w:highlight w:val="none"/>
          <w:lang w:eastAsia="zh-CN"/>
        </w:rPr>
        <w:t>万元，预决算差异率-5.45%，主要原因是：</w:t>
      </w:r>
      <w:r>
        <w:rPr>
          <w:rFonts w:hint="eastAsia" w:ascii="方正仿宋_GBK" w:hAnsi="方正仿宋_GBK" w:eastAsia="方正仿宋_GBK" w:cs="方正仿宋_GBK"/>
          <w:bCs/>
          <w:kern w:val="0"/>
          <w:sz w:val="31"/>
          <w:szCs w:val="31"/>
          <w:highlight w:val="none"/>
          <w:lang w:val="zh-CN" w:eastAsia="zh-CN" w:bidi="ar-SA"/>
        </w:rPr>
        <w:t>2023年长期聘用人员比上年减少</w:t>
      </w:r>
      <w:r>
        <w:rPr>
          <w:rFonts w:hint="eastAsia" w:ascii="方正仿宋_GBK" w:hAnsi="方正仿宋_GBK" w:eastAsia="方正仿宋_GBK" w:cs="方正仿宋_GBK"/>
          <w:bCs/>
          <w:kern w:val="0"/>
          <w:sz w:val="31"/>
          <w:szCs w:val="31"/>
          <w:highlight w:val="none"/>
          <w:lang w:val="en-US" w:eastAsia="zh-CN" w:bidi="ar-SA"/>
        </w:rPr>
        <w:t>18</w:t>
      </w:r>
      <w:r>
        <w:rPr>
          <w:rFonts w:hint="eastAsia" w:ascii="方正仿宋_GBK" w:hAnsi="方正仿宋_GBK" w:eastAsia="方正仿宋_GBK" w:cs="方正仿宋_GBK"/>
          <w:bCs/>
          <w:kern w:val="0"/>
          <w:sz w:val="31"/>
          <w:szCs w:val="31"/>
          <w:highlight w:val="none"/>
          <w:lang w:val="zh-CN" w:eastAsia="zh-CN" w:bidi="ar-SA"/>
        </w:rPr>
        <w:t>人</w:t>
      </w:r>
      <w:r>
        <w:rPr>
          <w:rFonts w:hint="eastAsia" w:ascii="方正仿宋_GBK" w:hAnsi="方正仿宋_GBK" w:eastAsia="方正仿宋_GBK" w:cs="方正仿宋_GBK"/>
          <w:color w:val="auto"/>
          <w:spacing w:val="0"/>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6" w:name="_Toc13833"/>
      <w:bookmarkStart w:id="17" w:name="_Toc20360"/>
      <w:r>
        <w:rPr>
          <w:rFonts w:hint="eastAsia" w:ascii="方正黑体_GBK" w:hAnsi="方正黑体_GBK" w:eastAsia="方正黑体_GBK" w:cs="方正黑体_GBK"/>
          <w:bCs/>
          <w:color w:val="auto"/>
          <w:kern w:val="0"/>
          <w:sz w:val="31"/>
          <w:szCs w:val="31"/>
          <w:highlight w:val="none"/>
          <w:lang w:eastAsia="zh-CN"/>
        </w:rPr>
        <w:t>五、一般公共预算财政拨款支出决算情况说明</w:t>
      </w:r>
      <w:bookmarkEnd w:id="16"/>
      <w:bookmarkEnd w:id="1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en-US" w:eastAsia="zh-CN"/>
        </w:rPr>
      </w:pPr>
      <w:r>
        <w:rPr>
          <w:rFonts w:hint="eastAsia" w:ascii="方正楷体_GBK" w:hAnsi="方正楷体_GBK" w:eastAsia="方正楷体_GBK" w:cs="方正楷体_GBK"/>
          <w:color w:val="auto"/>
          <w:sz w:val="31"/>
          <w:szCs w:val="31"/>
          <w:highlight w:val="none"/>
          <w:lang w:val="en-US" w:eastAsia="zh-CN"/>
        </w:rPr>
        <w:t>（一）一般公共预算财政拨款支出决算总体情况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eastAsia="zh-CN"/>
        </w:rPr>
        <w:t>2023年度一般公共预算财政拨款支出1,260.11万元，占本年支出合计的</w:t>
      </w:r>
      <w:r>
        <w:rPr>
          <w:rFonts w:hint="eastAsia" w:ascii="方正仿宋_GBK" w:hAnsi="方正仿宋_GBK" w:eastAsia="方正仿宋_GBK" w:cs="方正仿宋_GBK"/>
          <w:color w:val="auto"/>
          <w:spacing w:val="0"/>
          <w:sz w:val="31"/>
          <w:szCs w:val="31"/>
          <w:highlight w:val="none"/>
          <w:lang w:val="zh-CN" w:eastAsia="zh-CN"/>
        </w:rPr>
        <w:t>97.61%</w:t>
      </w:r>
      <w:r>
        <w:rPr>
          <w:rFonts w:hint="eastAsia" w:ascii="方正仿宋_GBK" w:hAnsi="方正仿宋_GBK" w:eastAsia="方正仿宋_GBK" w:cs="方正仿宋_GBK"/>
          <w:color w:val="auto"/>
          <w:spacing w:val="0"/>
          <w:sz w:val="31"/>
          <w:szCs w:val="31"/>
          <w:highlight w:val="none"/>
          <w:lang w:eastAsia="zh-CN"/>
        </w:rPr>
        <w:t>。与上年决算相比，</w:t>
      </w:r>
      <w:r>
        <w:rPr>
          <w:rFonts w:hint="eastAsia" w:ascii="方正仿宋_GBK" w:hAnsi="方正仿宋_GBK" w:eastAsia="方正仿宋_GBK" w:cs="方正仿宋_GBK"/>
          <w:color w:val="auto"/>
          <w:spacing w:val="0"/>
          <w:sz w:val="31"/>
          <w:szCs w:val="31"/>
          <w:highlight w:val="none"/>
          <w:lang w:val="zh-CN" w:eastAsia="zh-CN"/>
        </w:rPr>
        <w:t>减少78.33万元</w:t>
      </w:r>
      <w:r>
        <w:rPr>
          <w:rFonts w:hint="eastAsia" w:ascii="方正仿宋_GBK" w:hAnsi="方正仿宋_GBK" w:eastAsia="方正仿宋_GBK" w:cs="方正仿宋_GBK"/>
          <w:color w:val="auto"/>
          <w:spacing w:val="0"/>
          <w:sz w:val="31"/>
          <w:szCs w:val="31"/>
          <w:highlight w:val="none"/>
          <w:lang w:eastAsia="zh-CN"/>
        </w:rPr>
        <w:t>，</w:t>
      </w:r>
      <w:r>
        <w:rPr>
          <w:rFonts w:hint="eastAsia" w:ascii="方正仿宋_GBK" w:hAnsi="方正仿宋_GBK" w:eastAsia="方正仿宋_GBK" w:cs="方正仿宋_GBK"/>
          <w:color w:val="auto"/>
          <w:spacing w:val="0"/>
          <w:sz w:val="31"/>
          <w:szCs w:val="31"/>
          <w:highlight w:val="none"/>
          <w:lang w:val="en-US" w:eastAsia="zh-CN"/>
        </w:rPr>
        <w:t>下降5.85%,</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bCs/>
          <w:kern w:val="0"/>
          <w:sz w:val="31"/>
          <w:szCs w:val="31"/>
          <w:highlight w:val="none"/>
          <w:lang w:val="zh-CN" w:eastAsia="zh-CN" w:bidi="ar-SA"/>
        </w:rPr>
        <w:t>2023年长期聘用人员比上年减少</w:t>
      </w:r>
      <w:r>
        <w:rPr>
          <w:rFonts w:hint="eastAsia" w:ascii="方正仿宋_GBK" w:hAnsi="方正仿宋_GBK" w:eastAsia="方正仿宋_GBK" w:cs="方正仿宋_GBK"/>
          <w:bCs/>
          <w:kern w:val="0"/>
          <w:sz w:val="31"/>
          <w:szCs w:val="31"/>
          <w:highlight w:val="none"/>
          <w:lang w:val="en-US" w:eastAsia="zh-CN" w:bidi="ar-SA"/>
        </w:rPr>
        <w:t>18</w:t>
      </w:r>
      <w:r>
        <w:rPr>
          <w:rFonts w:hint="eastAsia" w:ascii="方正仿宋_GBK" w:hAnsi="方正仿宋_GBK" w:eastAsia="方正仿宋_GBK" w:cs="方正仿宋_GBK"/>
          <w:bCs/>
          <w:kern w:val="0"/>
          <w:sz w:val="31"/>
          <w:szCs w:val="31"/>
          <w:highlight w:val="none"/>
          <w:lang w:val="zh-CN" w:eastAsia="zh-CN" w:bidi="ar-SA"/>
        </w:rPr>
        <w:t>人</w:t>
      </w:r>
      <w:r>
        <w:rPr>
          <w:rFonts w:hint="eastAsia" w:ascii="方正仿宋_GBK" w:hAnsi="方正仿宋_GBK" w:eastAsia="方正仿宋_GBK" w:cs="方正仿宋_GBK"/>
          <w:color w:val="auto"/>
          <w:spacing w:val="0"/>
          <w:sz w:val="31"/>
          <w:szCs w:val="31"/>
          <w:highlight w:val="none"/>
          <w:lang w:eastAsia="zh-CN"/>
        </w:rPr>
        <w:t>。与年初预算相比，年初预算数</w:t>
      </w:r>
      <w:r>
        <w:rPr>
          <w:rFonts w:hint="eastAsia" w:ascii="方正仿宋_GBK" w:hAnsi="方正仿宋_GBK" w:eastAsia="方正仿宋_GBK" w:cs="方正仿宋_GBK"/>
          <w:color w:val="auto"/>
          <w:spacing w:val="0"/>
          <w:sz w:val="31"/>
          <w:szCs w:val="31"/>
          <w:highlight w:val="none"/>
          <w:lang w:val="zh-CN" w:eastAsia="zh-CN"/>
        </w:rPr>
        <w:t>1,347.30</w:t>
      </w:r>
      <w:r>
        <w:rPr>
          <w:rFonts w:hint="eastAsia" w:ascii="方正仿宋_GBK" w:hAnsi="方正仿宋_GBK" w:eastAsia="方正仿宋_GBK" w:cs="方正仿宋_GBK"/>
          <w:color w:val="auto"/>
          <w:spacing w:val="0"/>
          <w:sz w:val="31"/>
          <w:szCs w:val="31"/>
          <w:highlight w:val="none"/>
          <w:lang w:eastAsia="zh-CN"/>
        </w:rPr>
        <w:t>万元，决算数</w:t>
      </w:r>
      <w:r>
        <w:rPr>
          <w:rFonts w:hint="eastAsia" w:ascii="方正仿宋_GBK" w:hAnsi="方正仿宋_GBK" w:eastAsia="方正仿宋_GBK" w:cs="方正仿宋_GBK"/>
          <w:color w:val="auto"/>
          <w:spacing w:val="0"/>
          <w:sz w:val="31"/>
          <w:szCs w:val="31"/>
          <w:highlight w:val="none"/>
          <w:lang w:val="zh-CN" w:eastAsia="zh-CN"/>
        </w:rPr>
        <w:t>1,260.11</w:t>
      </w:r>
      <w:r>
        <w:rPr>
          <w:rFonts w:hint="eastAsia" w:ascii="方正仿宋_GBK" w:hAnsi="方正仿宋_GBK" w:eastAsia="方正仿宋_GBK" w:cs="方正仿宋_GBK"/>
          <w:color w:val="auto"/>
          <w:spacing w:val="0"/>
          <w:sz w:val="31"/>
          <w:szCs w:val="31"/>
          <w:highlight w:val="none"/>
          <w:lang w:eastAsia="zh-CN"/>
        </w:rPr>
        <w:t>万元，预决算差异率</w:t>
      </w:r>
      <w:r>
        <w:rPr>
          <w:rFonts w:hint="eastAsia" w:ascii="方正仿宋_GBK" w:hAnsi="方正仿宋_GBK" w:eastAsia="方正仿宋_GBK" w:cs="方正仿宋_GBK"/>
          <w:color w:val="auto"/>
          <w:spacing w:val="0"/>
          <w:sz w:val="31"/>
          <w:szCs w:val="31"/>
          <w:highlight w:val="none"/>
          <w:lang w:val="zh-CN" w:eastAsia="zh-CN"/>
        </w:rPr>
        <w:t>-6.47%</w:t>
      </w:r>
      <w:r>
        <w:rPr>
          <w:rFonts w:hint="eastAsia" w:ascii="方正仿宋_GBK" w:hAnsi="方正仿宋_GBK" w:eastAsia="方正仿宋_GBK" w:cs="方正仿宋_GBK"/>
          <w:color w:val="auto"/>
          <w:spacing w:val="0"/>
          <w:sz w:val="31"/>
          <w:szCs w:val="31"/>
          <w:highlight w:val="none"/>
          <w:lang w:eastAsia="zh-CN"/>
        </w:rPr>
        <w:t>，主要原因是：</w:t>
      </w:r>
      <w:r>
        <w:rPr>
          <w:rFonts w:hint="eastAsia" w:ascii="方正仿宋_GBK" w:hAnsi="方正仿宋_GBK" w:eastAsia="方正仿宋_GBK" w:cs="方正仿宋_GBK"/>
          <w:bCs/>
          <w:kern w:val="0"/>
          <w:sz w:val="31"/>
          <w:szCs w:val="31"/>
          <w:highlight w:val="none"/>
          <w:lang w:val="zh-CN" w:eastAsia="zh-CN" w:bidi="ar-SA"/>
        </w:rPr>
        <w:t>2023年长期聘用人员比上</w:t>
      </w:r>
      <w:bookmarkStart w:id="48" w:name="_GoBack"/>
      <w:bookmarkEnd w:id="48"/>
      <w:r>
        <w:rPr>
          <w:rFonts w:hint="eastAsia" w:ascii="方正仿宋_GBK" w:hAnsi="方正仿宋_GBK" w:eastAsia="方正仿宋_GBK" w:cs="方正仿宋_GBK"/>
          <w:bCs/>
          <w:kern w:val="0"/>
          <w:sz w:val="31"/>
          <w:szCs w:val="31"/>
          <w:highlight w:val="none"/>
          <w:lang w:val="zh-CN" w:eastAsia="zh-CN" w:bidi="ar-SA"/>
        </w:rPr>
        <w:t>年减少</w:t>
      </w:r>
      <w:r>
        <w:rPr>
          <w:rFonts w:hint="eastAsia" w:ascii="方正仿宋_GBK" w:hAnsi="方正仿宋_GBK" w:eastAsia="方正仿宋_GBK" w:cs="方正仿宋_GBK"/>
          <w:bCs/>
          <w:kern w:val="0"/>
          <w:sz w:val="31"/>
          <w:szCs w:val="31"/>
          <w:highlight w:val="none"/>
          <w:lang w:val="en-US" w:eastAsia="zh-CN" w:bidi="ar-SA"/>
        </w:rPr>
        <w:t>18</w:t>
      </w:r>
      <w:r>
        <w:rPr>
          <w:rFonts w:hint="eastAsia" w:ascii="方正仿宋_GBK" w:hAnsi="方正仿宋_GBK" w:eastAsia="方正仿宋_GBK" w:cs="方正仿宋_GBK"/>
          <w:bCs/>
          <w:kern w:val="0"/>
          <w:sz w:val="31"/>
          <w:szCs w:val="31"/>
          <w:highlight w:val="none"/>
          <w:lang w:val="zh-CN" w:eastAsia="zh-CN" w:bidi="ar-SA"/>
        </w:rPr>
        <w:t>人</w:t>
      </w:r>
      <w:r>
        <w:rPr>
          <w:rFonts w:hint="eastAsia" w:ascii="方正仿宋_GBK" w:hAnsi="方正仿宋_GBK" w:eastAsia="方正仿宋_GBK" w:cs="方正仿宋_GBK"/>
          <w:color w:val="auto"/>
          <w:spacing w:val="0"/>
          <w:sz w:val="31"/>
          <w:szCs w:val="31"/>
          <w:highlight w:val="none"/>
          <w:lang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en-US" w:eastAsia="zh-CN"/>
        </w:rPr>
      </w:pPr>
      <w:r>
        <w:rPr>
          <w:rFonts w:hint="eastAsia" w:ascii="方正楷体_GBK" w:hAnsi="方正楷体_GBK" w:eastAsia="方正楷体_GBK" w:cs="方正楷体_GBK"/>
          <w:color w:val="auto"/>
          <w:sz w:val="31"/>
          <w:szCs w:val="31"/>
          <w:highlight w:val="none"/>
          <w:lang w:val="en-US" w:eastAsia="zh-CN"/>
        </w:rPr>
        <w:t>(二）一般公共预算财政拨款支出决算结构情况</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eastAsia" w:ascii="方正仿宋_GBK" w:hAnsi="方正仿宋_GBK" w:eastAsia="方正仿宋_GBK" w:cs="方正仿宋_GBK"/>
          <w:color w:val="auto"/>
          <w:spacing w:val="0"/>
          <w:kern w:val="2"/>
          <w:sz w:val="31"/>
          <w:szCs w:val="31"/>
          <w:lang w:val="zh-CN" w:eastAsia="zh-CN" w:bidi="ar-SA"/>
        </w:rPr>
        <w:t>1.</w:t>
      </w:r>
      <w:r>
        <w:rPr>
          <w:rFonts w:hint="eastAsia" w:ascii="方正仿宋_GBK" w:hAnsi="方正仿宋_GBK" w:eastAsia="方正仿宋_GBK" w:cs="方正仿宋_GBK"/>
          <w:color w:val="auto"/>
          <w:spacing w:val="0"/>
          <w:kern w:val="2"/>
          <w:sz w:val="31"/>
          <w:szCs w:val="31"/>
          <w:highlight w:val="none"/>
          <w:lang w:val="zh-CN" w:eastAsia="zh-CN" w:bidi="ar-SA"/>
        </w:rPr>
        <w:t>一般公共服务支出（类）889.93万元，占70.62%；</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en-US" w:eastAsia="zh-CN" w:bidi="ar-SA"/>
        </w:rPr>
      </w:pPr>
      <w:r>
        <w:rPr>
          <w:rFonts w:hint="eastAsia" w:ascii="方正仿宋_GBK" w:hAnsi="方正仿宋_GBK" w:eastAsia="方正仿宋_GBK" w:cs="方正仿宋_GBK"/>
          <w:color w:val="auto"/>
          <w:spacing w:val="0"/>
          <w:kern w:val="2"/>
          <w:sz w:val="31"/>
          <w:szCs w:val="31"/>
          <w:lang w:val="en-US" w:eastAsia="zh-CN" w:bidi="ar-SA"/>
        </w:rPr>
        <w:t>2.</w:t>
      </w:r>
      <w:r>
        <w:rPr>
          <w:rFonts w:hint="eastAsia" w:ascii="方正仿宋_GBK" w:hAnsi="方正仿宋_GBK" w:eastAsia="方正仿宋_GBK" w:cs="方正仿宋_GBK"/>
          <w:color w:val="auto"/>
          <w:spacing w:val="0"/>
          <w:kern w:val="2"/>
          <w:sz w:val="31"/>
          <w:szCs w:val="31"/>
          <w:highlight w:val="none"/>
          <w:lang w:val="zh-CN" w:eastAsia="zh-CN" w:bidi="ar-SA"/>
        </w:rPr>
        <w:t>教育支出（类）0.31万元，占0.02%；</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lang w:val="zh-CN" w:eastAsia="zh-CN" w:bidi="ar-SA"/>
        </w:rPr>
      </w:pPr>
      <w:r>
        <w:rPr>
          <w:rFonts w:hint="eastAsia" w:ascii="方正仿宋_GBK" w:hAnsi="方正仿宋_GBK" w:eastAsia="方正仿宋_GBK" w:cs="方正仿宋_GBK"/>
          <w:color w:val="auto"/>
          <w:spacing w:val="0"/>
          <w:kern w:val="2"/>
          <w:sz w:val="31"/>
          <w:szCs w:val="31"/>
          <w:lang w:val="zh-CN" w:eastAsia="zh-CN" w:bidi="ar-SA"/>
        </w:rPr>
        <w:t>3.</w:t>
      </w:r>
      <w:r>
        <w:rPr>
          <w:rFonts w:hint="eastAsia" w:ascii="方正仿宋_GBK" w:hAnsi="方正仿宋_GBK" w:eastAsia="方正仿宋_GBK" w:cs="方正仿宋_GBK"/>
          <w:color w:val="auto"/>
          <w:spacing w:val="0"/>
          <w:kern w:val="2"/>
          <w:sz w:val="31"/>
          <w:szCs w:val="31"/>
          <w:highlight w:val="none"/>
          <w:lang w:val="zh-CN" w:eastAsia="zh-CN" w:bidi="ar-SA"/>
        </w:rPr>
        <w:t>社会保障和就业支出（类）226.88万元，占18.00%；</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lang w:val="zh-CN" w:eastAsia="zh-CN" w:bidi="ar-SA"/>
        </w:rPr>
      </w:pPr>
      <w:r>
        <w:rPr>
          <w:rFonts w:hint="eastAsia" w:ascii="方正仿宋_GBK" w:hAnsi="方正仿宋_GBK" w:eastAsia="方正仿宋_GBK" w:cs="方正仿宋_GBK"/>
          <w:color w:val="auto"/>
          <w:spacing w:val="0"/>
          <w:kern w:val="2"/>
          <w:sz w:val="31"/>
          <w:szCs w:val="31"/>
          <w:lang w:val="zh-CN" w:eastAsia="zh-CN" w:bidi="ar-SA"/>
        </w:rPr>
        <w:t>4.</w:t>
      </w:r>
      <w:r>
        <w:rPr>
          <w:rFonts w:hint="eastAsia" w:ascii="方正仿宋_GBK" w:hAnsi="方正仿宋_GBK" w:eastAsia="方正仿宋_GBK" w:cs="方正仿宋_GBK"/>
          <w:color w:val="auto"/>
          <w:spacing w:val="0"/>
          <w:kern w:val="2"/>
          <w:sz w:val="31"/>
          <w:szCs w:val="31"/>
          <w:highlight w:val="none"/>
          <w:lang w:val="zh-CN" w:eastAsia="zh-CN" w:bidi="ar-SA"/>
        </w:rPr>
        <w:t>卫生健康支出（类）28.26万元，占2.24%；</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highlight w:val="none"/>
          <w:lang w:val="zh-CN" w:eastAsia="zh-CN" w:bidi="ar-SA"/>
        </w:rPr>
      </w:pPr>
      <w:r>
        <w:rPr>
          <w:rFonts w:hint="eastAsia" w:ascii="方正仿宋_GBK" w:hAnsi="方正仿宋_GBK" w:eastAsia="方正仿宋_GBK" w:cs="方正仿宋_GBK"/>
          <w:color w:val="auto"/>
          <w:spacing w:val="0"/>
          <w:kern w:val="2"/>
          <w:sz w:val="31"/>
          <w:szCs w:val="31"/>
          <w:lang w:val="zh-CN" w:eastAsia="zh-CN" w:bidi="ar-SA"/>
        </w:rPr>
        <w:t>5.</w:t>
      </w:r>
      <w:r>
        <w:rPr>
          <w:rFonts w:hint="eastAsia" w:ascii="方正仿宋_GBK" w:hAnsi="方正仿宋_GBK" w:eastAsia="方正仿宋_GBK" w:cs="方正仿宋_GBK"/>
          <w:color w:val="auto"/>
          <w:spacing w:val="0"/>
          <w:kern w:val="2"/>
          <w:sz w:val="31"/>
          <w:szCs w:val="31"/>
          <w:highlight w:val="none"/>
          <w:lang w:val="zh-CN" w:eastAsia="zh-CN" w:bidi="ar-SA"/>
        </w:rPr>
        <w:t>农林水支出（类）0.30万元，占0.02%；</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pacing w:val="0"/>
          <w:kern w:val="2"/>
          <w:sz w:val="31"/>
          <w:szCs w:val="31"/>
          <w:lang w:val="en-US" w:eastAsia="zh-CN" w:bidi="ar-SA"/>
        </w:rPr>
      </w:pPr>
      <w:r>
        <w:rPr>
          <w:rFonts w:hint="eastAsia" w:ascii="方正仿宋_GBK" w:hAnsi="方正仿宋_GBK" w:eastAsia="方正仿宋_GBK" w:cs="方正仿宋_GBK"/>
          <w:color w:val="auto"/>
          <w:spacing w:val="0"/>
          <w:kern w:val="2"/>
          <w:sz w:val="31"/>
          <w:szCs w:val="31"/>
          <w:lang w:val="en-US" w:eastAsia="zh-CN" w:bidi="ar-SA"/>
        </w:rPr>
        <w:t>6.</w:t>
      </w:r>
      <w:r>
        <w:rPr>
          <w:rFonts w:hint="eastAsia" w:ascii="方正仿宋_GBK" w:hAnsi="方正仿宋_GBK" w:eastAsia="方正仿宋_GBK" w:cs="方正仿宋_GBK"/>
          <w:color w:val="auto"/>
          <w:spacing w:val="0"/>
          <w:kern w:val="2"/>
          <w:sz w:val="31"/>
          <w:szCs w:val="31"/>
          <w:highlight w:val="none"/>
          <w:lang w:val="zh-CN" w:eastAsia="zh-CN" w:bidi="ar-SA"/>
        </w:rPr>
        <w:t>住房保障支出（类）44.44万元，占3.53%；</w:t>
      </w:r>
    </w:p>
    <w:p>
      <w:pPr>
        <w:pStyle w:val="8"/>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60" w:lineRule="exact"/>
        <w:ind w:left="0" w:leftChars="0" w:right="0" w:rightChars="0"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pacing w:val="0"/>
          <w:kern w:val="2"/>
          <w:sz w:val="31"/>
          <w:szCs w:val="31"/>
          <w:lang w:val="zh-CN" w:eastAsia="zh-CN" w:bidi="ar-SA"/>
        </w:rPr>
        <w:t>7.</w:t>
      </w:r>
      <w:r>
        <w:rPr>
          <w:rFonts w:hint="eastAsia" w:ascii="方正仿宋_GBK" w:hAnsi="方正仿宋_GBK" w:eastAsia="方正仿宋_GBK" w:cs="方正仿宋_GBK"/>
          <w:color w:val="auto"/>
          <w:spacing w:val="0"/>
          <w:kern w:val="2"/>
          <w:sz w:val="31"/>
          <w:szCs w:val="31"/>
          <w:highlight w:val="none"/>
          <w:lang w:val="zh-CN" w:eastAsia="zh-CN" w:bidi="ar-SA"/>
        </w:rPr>
        <w:t>其他支出（类）70.00万元，占5.56%；</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黑体" w:hAnsi="黑体" w:eastAsia="黑体"/>
          <w:color w:val="auto"/>
          <w:sz w:val="31"/>
          <w:szCs w:val="31"/>
          <w:highlight w:val="none"/>
          <w:lang w:eastAsia="zh-CN"/>
        </w:rPr>
      </w:pPr>
      <w:r>
        <w:rPr>
          <w:rFonts w:hint="eastAsia" w:ascii="方正楷体_GBK" w:hAnsi="方正楷体_GBK" w:eastAsia="方正楷体_GBK" w:cs="方正楷体_GBK"/>
          <w:color w:val="auto"/>
          <w:sz w:val="31"/>
          <w:szCs w:val="31"/>
          <w:highlight w:val="none"/>
          <w:lang w:val="en-US" w:eastAsia="zh-CN"/>
        </w:rPr>
        <w:t>（三）一般公共预算财政拨款支出决算具体情况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1.卫生健康支出（类）行政事业单位医疗（款）行政单位医疗（项）:支出决算数为25.31万元，比上年决算增加3.30万元，增长15.00%，主要原因是：</w:t>
      </w:r>
      <w:r>
        <w:rPr>
          <w:rFonts w:hint="eastAsia" w:ascii="方正仿宋_GBK" w:hAnsi="方正仿宋_GBK" w:eastAsia="方正仿宋_GBK" w:cs="方正仿宋_GBK"/>
          <w:bCs/>
          <w:kern w:val="0"/>
          <w:sz w:val="31"/>
          <w:szCs w:val="31"/>
          <w:highlight w:val="none"/>
          <w:lang w:val="en-US" w:eastAsia="zh-CN" w:bidi="ar-SA"/>
        </w:rPr>
        <w:t>人员工资增长,社保缴费基数提高</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2.教育支出（类）进修及培训（款）培训支出（项）:支出决算数为0.31万元，比上年决算减少0.74万元，下降70.48%，主要原因是：上级安排培训次数较往年减少</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bCs/>
          <w:kern w:val="0"/>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3.农林水支出（类）巩固脱贫攻坚成果衔接乡村振兴（款）其他巩固脱贫攻坚成果衔接乡村振兴支出（项）:支出决算数为0.30万元，比上年决算增加0.30万元，增长100%，主要原因是：</w:t>
      </w:r>
      <w:r>
        <w:rPr>
          <w:rFonts w:hint="eastAsia" w:ascii="方正仿宋_GBK" w:hAnsi="方正仿宋_GBK" w:eastAsia="方正仿宋_GBK" w:cs="方正仿宋_GBK"/>
          <w:bCs/>
          <w:kern w:val="0"/>
          <w:sz w:val="31"/>
          <w:szCs w:val="31"/>
          <w:highlight w:val="none"/>
          <w:lang w:val="zh-CN" w:eastAsia="zh-CN" w:bidi="ar-SA"/>
        </w:rPr>
        <w:t>此项经费为“雨露计划”资金，用于支付</w:t>
      </w:r>
      <w:r>
        <w:rPr>
          <w:rFonts w:hint="eastAsia" w:ascii="方正仿宋_GBK" w:hAnsi="方正仿宋_GBK" w:eastAsia="方正仿宋_GBK" w:cs="方正仿宋_GBK"/>
          <w:bCs/>
          <w:kern w:val="0"/>
          <w:sz w:val="31"/>
          <w:szCs w:val="31"/>
          <w:highlight w:val="none"/>
          <w:lang w:val="en-US" w:eastAsia="zh-CN" w:bidi="ar-SA"/>
        </w:rPr>
        <w:t>2022年秋季一名入学新生助学金，每学期0.15万元，本年度支付了2022年秋季和2023年春季两学期助学金0.3万元，所以比上年决算增加0.30万元</w:t>
      </w:r>
      <w:r>
        <w:rPr>
          <w:rFonts w:hint="eastAsia" w:ascii="方正仿宋_GBK" w:hAnsi="方正仿宋_GBK" w:eastAsia="方正仿宋_GBK" w:cs="方正仿宋_GBK"/>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4.卫生健康支出（类）行政事业单位医疗（款）公务员医疗补助（项）:支出决算数为2.95万元，比上年决算增加0.11万元，增长3.87%，主要原因是：</w:t>
      </w:r>
      <w:r>
        <w:rPr>
          <w:rFonts w:hint="eastAsia" w:ascii="方正仿宋_GBK" w:hAnsi="方正仿宋_GBK" w:eastAsia="方正仿宋_GBK" w:cs="方正仿宋_GBK"/>
          <w:bCs/>
          <w:kern w:val="0"/>
          <w:sz w:val="31"/>
          <w:szCs w:val="31"/>
          <w:highlight w:val="none"/>
          <w:lang w:val="en-US" w:eastAsia="zh-CN" w:bidi="ar-SA"/>
        </w:rPr>
        <w:t>人员工资增长,医保缴费基数提高</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5.住房保障支出（类）住房改革支出（款）住房公积金（项）:支出决算数为44.44万元，比上年决算增加2.63万元，增长6.29%，主要原因是：</w:t>
      </w:r>
      <w:r>
        <w:rPr>
          <w:rFonts w:hint="eastAsia" w:ascii="方正仿宋_GBK" w:hAnsi="方正仿宋_GBK" w:eastAsia="方正仿宋_GBK" w:cs="方正仿宋_GBK"/>
          <w:bCs/>
          <w:kern w:val="0"/>
          <w:sz w:val="31"/>
          <w:szCs w:val="31"/>
          <w:highlight w:val="none"/>
          <w:lang w:val="en-US" w:eastAsia="zh-CN" w:bidi="ar-SA"/>
        </w:rPr>
        <w:t>人员工资增长，公积金基数提高</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6.一般公共服务支出（类）组织事务（款）其他组织事务支出（项）:支出决算数为58.64万元，比上年决算减少52.64万元，下降47.31%，主要原因是：因预算科目调整，上年度其他组织事务支出中含社区党建工作经费，本年度社区党建工作经费在其他政府办公厅（室）及相关机构事务支出科目预算</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bCs/>
          <w:kern w:val="0"/>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7.一般公共服务支出（类）纪检监察事务（款）其他纪检监察事务支出（项）:支出决算数为1.67万元，比上年决算增加0.84万元，增长101.20%，主要原因是：</w:t>
      </w:r>
      <w:r>
        <w:rPr>
          <w:rFonts w:hint="eastAsia" w:ascii="方正仿宋_GBK" w:hAnsi="方正仿宋_GBK" w:eastAsia="方正仿宋_GBK" w:cs="方正仿宋_GBK"/>
          <w:bCs/>
          <w:kern w:val="0"/>
          <w:sz w:val="31"/>
          <w:szCs w:val="31"/>
          <w:highlight w:val="none"/>
          <w:lang w:val="en-US" w:eastAsia="zh-CN" w:bidi="ar-SA"/>
        </w:rPr>
        <w:t>为保障</w:t>
      </w:r>
      <w:r>
        <w:rPr>
          <w:rFonts w:hint="eastAsia" w:ascii="方正仿宋_GBK" w:hAnsi="方正仿宋_GBK" w:eastAsia="方正仿宋_GBK" w:cs="方正仿宋_GBK"/>
          <w:bCs/>
          <w:kern w:val="0"/>
          <w:sz w:val="31"/>
          <w:szCs w:val="31"/>
          <w:highlight w:val="none"/>
          <w:lang w:val="zh-CN" w:eastAsia="zh-CN" w:bidi="ar-SA"/>
        </w:rPr>
        <w:t>纪检各项工作顺利开展，本年度上级纪检专项经费下拨数增加，购买了纪检办案设备和办公用品等。</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bCs/>
          <w:kern w:val="0"/>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8.社会保障和就业支出（类）行政事业单位养老支出（款）行政单位离退休（项）:支出决算数为6.55万元，比上年决算增加6.55万元，增长100%，主要原因是：</w:t>
      </w:r>
      <w:r>
        <w:rPr>
          <w:rFonts w:hint="eastAsia" w:ascii="方正仿宋_GBK" w:hAnsi="方正仿宋_GBK" w:eastAsia="方正仿宋_GBK" w:cs="方正仿宋_GBK"/>
          <w:bCs/>
          <w:kern w:val="0"/>
          <w:sz w:val="31"/>
          <w:szCs w:val="31"/>
          <w:highlight w:val="none"/>
          <w:lang w:val="en-US" w:eastAsia="zh-CN" w:bidi="ar-SA"/>
        </w:rPr>
        <w:t>22年没有退休人员，本年度增加一名退休人员</w:t>
      </w:r>
      <w:r>
        <w:rPr>
          <w:rFonts w:hint="eastAsia" w:ascii="方正仿宋_GBK" w:hAnsi="方正仿宋_GBK" w:eastAsia="方正仿宋_GBK" w:cs="方正仿宋_GBK"/>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9.社会保障和就业支出（类）就业补助（款）公益性岗位补贴（项）:支出决算数为164.20万元，比上年决算减少52.28万元，下降24.15%，主要原因是：本年度</w:t>
      </w:r>
      <w:r>
        <w:rPr>
          <w:rFonts w:hint="eastAsia" w:ascii="方正仿宋_GBK" w:hAnsi="方正仿宋_GBK" w:eastAsia="方正仿宋_GBK" w:cs="方正仿宋_GBK"/>
          <w:color w:val="auto"/>
          <w:kern w:val="2"/>
          <w:sz w:val="31"/>
          <w:szCs w:val="31"/>
          <w:highlight w:val="none"/>
          <w:lang w:val="zh-CN" w:eastAsia="zh-CN" w:bidi="ar-SA"/>
        </w:rPr>
        <w:t>辞职</w:t>
      </w:r>
      <w:r>
        <w:rPr>
          <w:rFonts w:hint="eastAsia" w:ascii="方正仿宋_GBK" w:hAnsi="方正仿宋_GBK" w:eastAsia="方正仿宋_GBK" w:cs="方正仿宋_GBK"/>
          <w:color w:val="auto"/>
          <w:kern w:val="2"/>
          <w:sz w:val="31"/>
          <w:szCs w:val="31"/>
          <w:highlight w:val="none"/>
          <w:lang w:val="en-US" w:eastAsia="zh-CN" w:bidi="ar-SA"/>
        </w:rPr>
        <w:t>18人</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10.一般公共服务支出（类）政府办公厅（室）及相关机构事务（款）行政运行（项）:支出决算数为829.62万元，比上年决算减少14.34万元，下降1.70%，主要原因是：本年度</w:t>
      </w:r>
      <w:r>
        <w:rPr>
          <w:rFonts w:hint="eastAsia" w:ascii="方正仿宋_GBK" w:hAnsi="方正仿宋_GBK" w:eastAsia="方正仿宋_GBK" w:cs="方正仿宋_GBK"/>
          <w:color w:val="auto"/>
          <w:kern w:val="2"/>
          <w:sz w:val="31"/>
          <w:szCs w:val="31"/>
          <w:highlight w:val="none"/>
          <w:lang w:val="zh-CN" w:eastAsia="zh-CN" w:bidi="ar-SA"/>
        </w:rPr>
        <w:t>辞职</w:t>
      </w:r>
      <w:r>
        <w:rPr>
          <w:rFonts w:hint="eastAsia" w:ascii="方正仿宋_GBK" w:hAnsi="方正仿宋_GBK" w:eastAsia="方正仿宋_GBK" w:cs="方正仿宋_GBK"/>
          <w:color w:val="auto"/>
          <w:kern w:val="2"/>
          <w:sz w:val="31"/>
          <w:szCs w:val="31"/>
          <w:highlight w:val="none"/>
          <w:lang w:val="en-US" w:eastAsia="zh-CN" w:bidi="ar-SA"/>
        </w:rPr>
        <w:t>18人</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11.其他支出（类）其他支出（款）其他支出（项）:支出决算数为70.00万元，比上年决算增加70.00万元，增长100%，主要原因是：23年增加了恰尓巴格乡恰尓巴格社区服务设施建设项目款，支付了70万元</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12.社会保障和就业支出（类）行政事业单位养老支出（款）机关事业单位基本养老保险缴费支出（项）:支出决算数为56.13万元，比上年决算增加0.10万元，增长0.17%，主要原因是：</w:t>
      </w:r>
      <w:r>
        <w:rPr>
          <w:rFonts w:hint="eastAsia" w:ascii="方正仿宋_GBK" w:hAnsi="方正仿宋_GBK" w:eastAsia="方正仿宋_GBK" w:cs="方正仿宋_GBK"/>
          <w:bCs/>
          <w:kern w:val="0"/>
          <w:sz w:val="31"/>
          <w:szCs w:val="31"/>
          <w:highlight w:val="none"/>
          <w:lang w:val="en-US" w:eastAsia="zh-CN" w:bidi="ar-SA"/>
        </w:rPr>
        <w:t>人员工资增长,医社保缴费基数提高</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13.一般公共服务支出（类）政府办公厅（室）及相关机构事务（款）其他政府办公厅（室）及相关机构事务支出（项）:支出决算数为0.00万元，比上年决算减少36.15万元，下降100%，主要原因是：2023年度无该项支出，故支出决算数为0.00万元</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14.国防支出（类）国防动员（款）民兵（项）:支出决算数为0.00万元，比上年决算减少1.19万元，下降100%，主要原因是：2022年警务站民兵工资有我单位发放，23年我单位未发放警务站民兵工资</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15.卫生健康支出（类）公共卫生（款）突发公共卫生事件应急处理（项）:支出决算数为0.00万元，比上年决算减少4.47万元，下降100%，主要原因是：2023年度无该项支出，故支出决算数为0.00万元</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kern w:val="2"/>
          <w:sz w:val="31"/>
          <w:szCs w:val="31"/>
          <w:highlight w:val="none"/>
          <w:lang w:val="zh-CN" w:eastAsia="zh-CN" w:bidi="ar-SA"/>
        </w:rPr>
      </w:pPr>
      <w:r>
        <w:rPr>
          <w:rFonts w:hint="eastAsia" w:ascii="方正仿宋_GBK" w:hAnsi="方正仿宋_GBK" w:eastAsia="方正仿宋_GBK" w:cs="方正仿宋_GBK"/>
          <w:color w:val="auto"/>
          <w:kern w:val="2"/>
          <w:sz w:val="31"/>
          <w:szCs w:val="31"/>
          <w:highlight w:val="none"/>
          <w:lang w:val="en-US" w:eastAsia="zh-CN" w:bidi="ar-SA"/>
        </w:rPr>
        <w:t>16.文化旅游体育与传媒支出（类）其他文化旅游体育与传媒支出（款）其他文化旅游体育与传媒支出（项）:支出决算数为0.00万元，比上年决算减少0.35万元，下降100%，主要原因是：2023年度无该项支出，故支出决算数为0.00万元</w:t>
      </w:r>
      <w:r>
        <w:rPr>
          <w:rFonts w:hint="eastAsia" w:ascii="方正仿宋_GBK" w:hAnsi="方正仿宋_GBK" w:eastAsia="方正仿宋_GBK" w:cs="方正仿宋_GBK"/>
          <w:color w:val="auto"/>
          <w:kern w:val="2"/>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2"/>
          <w:szCs w:val="32"/>
          <w:highlight w:val="none"/>
          <w:lang w:eastAsia="zh-CN"/>
        </w:rPr>
      </w:pPr>
      <w:r>
        <w:rPr>
          <w:rFonts w:hint="eastAsia" w:ascii="方正黑体_GBK" w:hAnsi="方正黑体_GBK" w:eastAsia="方正黑体_GBK" w:cs="方正黑体_GBK"/>
          <w:bCs/>
          <w:color w:val="auto"/>
          <w:kern w:val="0"/>
          <w:sz w:val="31"/>
          <w:szCs w:val="31"/>
          <w:highlight w:val="none"/>
          <w:lang w:eastAsia="zh-CN"/>
        </w:rPr>
        <w:t>六、一般公共预算财政拨款基本支出决算情况说明</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eastAsia="zh-CN"/>
        </w:rPr>
        <w:t>2023年度</w:t>
      </w:r>
      <w:r>
        <w:rPr>
          <w:rFonts w:hint="eastAsia" w:ascii="方正仿宋_GBK" w:hAnsi="方正仿宋_GBK" w:eastAsia="方正仿宋_GBK" w:cs="方正仿宋_GBK"/>
          <w:color w:val="auto"/>
          <w:sz w:val="31"/>
          <w:szCs w:val="31"/>
          <w:highlight w:val="none"/>
        </w:rPr>
        <w:t>一般公共预算财政拨款基本支出</w:t>
      </w:r>
      <w:r>
        <w:rPr>
          <w:rFonts w:hint="eastAsia" w:ascii="方正仿宋_GBK" w:hAnsi="方正仿宋_GBK" w:eastAsia="方正仿宋_GBK" w:cs="方正仿宋_GBK"/>
          <w:color w:val="auto"/>
          <w:sz w:val="31"/>
          <w:szCs w:val="31"/>
          <w:highlight w:val="none"/>
          <w:lang w:eastAsia="zh-CN"/>
        </w:rPr>
        <w:t>1,188.14</w:t>
      </w:r>
      <w:r>
        <w:rPr>
          <w:rFonts w:hint="eastAsia" w:ascii="方正仿宋_GBK" w:hAnsi="方正仿宋_GBK" w:eastAsia="方正仿宋_GBK" w:cs="方正仿宋_GBK"/>
          <w:color w:val="auto"/>
          <w:sz w:val="31"/>
          <w:szCs w:val="31"/>
          <w:highlight w:val="none"/>
        </w:rPr>
        <w:t>万元，其中：人员经费</w:t>
      </w:r>
      <w:r>
        <w:rPr>
          <w:rFonts w:hint="eastAsia" w:ascii="方正仿宋_GBK" w:hAnsi="方正仿宋_GBK" w:eastAsia="方正仿宋_GBK" w:cs="方正仿宋_GBK"/>
          <w:color w:val="auto"/>
          <w:sz w:val="31"/>
          <w:szCs w:val="31"/>
          <w:highlight w:val="none"/>
          <w:lang w:eastAsia="zh-CN"/>
        </w:rPr>
        <w:t>1,170.02</w:t>
      </w:r>
      <w:r>
        <w:rPr>
          <w:rFonts w:hint="eastAsia" w:ascii="方正仿宋_GBK" w:hAnsi="方正仿宋_GBK" w:eastAsia="方正仿宋_GBK" w:cs="方正仿宋_GBK"/>
          <w:color w:val="auto"/>
          <w:sz w:val="31"/>
          <w:szCs w:val="31"/>
          <w:highlight w:val="none"/>
        </w:rPr>
        <w:t>万元，包括：</w:t>
      </w:r>
      <w:r>
        <w:rPr>
          <w:rFonts w:hint="eastAsia" w:ascii="方正仿宋_GBK" w:hAnsi="方正仿宋_GBK" w:eastAsia="方正仿宋_GBK" w:cs="方正仿宋_GBK"/>
          <w:color w:val="auto"/>
          <w:sz w:val="31"/>
          <w:szCs w:val="31"/>
          <w:highlight w:val="none"/>
          <w:lang w:val="en-US" w:eastAsia="zh-CN"/>
        </w:rPr>
        <w:t>基本工资、津贴补贴、奖金、绩效工资、机关事业单位基本养老保险缴费、职工基本医疗保险缴费、公务员医疗补助缴费、其他社会保障缴费、住房公积金、其他工资福利支出、退休费、生活补助、奖励金、其他对个人和家庭的补助。</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red"/>
          <w:lang w:val="en-US" w:eastAsia="zh-CN"/>
        </w:rPr>
      </w:pPr>
      <w:r>
        <w:rPr>
          <w:rFonts w:hint="eastAsia" w:ascii="方正仿宋_GBK" w:hAnsi="方正仿宋_GBK" w:eastAsia="方正仿宋_GBK" w:cs="方正仿宋_GBK"/>
          <w:color w:val="auto"/>
          <w:sz w:val="31"/>
          <w:szCs w:val="31"/>
          <w:highlight w:val="none"/>
        </w:rPr>
        <w:t>公用经费</w:t>
      </w:r>
      <w:r>
        <w:rPr>
          <w:rFonts w:hint="eastAsia" w:ascii="方正仿宋_GBK" w:hAnsi="方正仿宋_GBK" w:eastAsia="方正仿宋_GBK" w:cs="方正仿宋_GBK"/>
          <w:color w:val="auto"/>
          <w:sz w:val="31"/>
          <w:szCs w:val="31"/>
          <w:highlight w:val="none"/>
          <w:lang w:eastAsia="zh-CN"/>
        </w:rPr>
        <w:t>18.13</w:t>
      </w:r>
      <w:r>
        <w:rPr>
          <w:rFonts w:hint="eastAsia" w:ascii="方正仿宋_GBK" w:hAnsi="方正仿宋_GBK" w:eastAsia="方正仿宋_GBK" w:cs="方正仿宋_GBK"/>
          <w:color w:val="auto"/>
          <w:sz w:val="31"/>
          <w:szCs w:val="31"/>
          <w:highlight w:val="none"/>
        </w:rPr>
        <w:t>万元，包括：</w:t>
      </w:r>
      <w:r>
        <w:rPr>
          <w:rFonts w:hint="eastAsia" w:ascii="方正仿宋_GBK" w:hAnsi="方正仿宋_GBK" w:eastAsia="方正仿宋_GBK" w:cs="方正仿宋_GBK"/>
          <w:color w:val="auto"/>
          <w:sz w:val="31"/>
          <w:szCs w:val="31"/>
          <w:highlight w:val="none"/>
          <w:lang w:val="en-US" w:eastAsia="zh-CN"/>
        </w:rPr>
        <w:t>办公费、水费、电费、邮电费、取暖费、培训费、工会经费、公务用车运行维护费。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七、</w:t>
      </w:r>
      <w:r>
        <w:rPr>
          <w:rFonts w:hint="eastAsia" w:ascii="方正黑体_GBK" w:hAnsi="方正黑体_GBK" w:eastAsia="方正黑体_GBK" w:cs="方正黑体_GBK"/>
          <w:bCs/>
          <w:color w:val="auto"/>
          <w:kern w:val="0"/>
          <w:sz w:val="31"/>
          <w:szCs w:val="31"/>
          <w:highlight w:val="none"/>
          <w:lang w:eastAsia="zh-CN"/>
        </w:rPr>
        <w:t>财政拨款“三公”经费支出决算情况说明</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2023年度</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eastAsia="zh-CN"/>
        </w:rPr>
        <w:t>“三公”经费支出3.61万元，</w:t>
      </w:r>
      <w:r>
        <w:rPr>
          <w:rFonts w:hint="eastAsia" w:ascii="方正仿宋_GBK" w:hAnsi="方正仿宋_GBK" w:eastAsia="方正仿宋_GBK" w:cs="方正仿宋_GBK"/>
          <w:color w:val="auto"/>
          <w:sz w:val="31"/>
          <w:szCs w:val="31"/>
          <w:highlight w:val="none"/>
          <w:lang w:val="en-US" w:eastAsia="zh-CN"/>
        </w:rPr>
        <w:t>比上年</w:t>
      </w:r>
      <w:r>
        <w:rPr>
          <w:rFonts w:hint="eastAsia" w:ascii="方正仿宋_GBK" w:hAnsi="方正仿宋_GBK" w:eastAsia="方正仿宋_GBK" w:cs="方正仿宋_GBK"/>
          <w:color w:val="auto"/>
          <w:sz w:val="31"/>
          <w:szCs w:val="31"/>
          <w:highlight w:val="none"/>
          <w:lang w:val="zh-CN" w:eastAsia="zh-CN"/>
        </w:rPr>
        <w:t>减少1.63万元，</w:t>
      </w:r>
      <w:r>
        <w:rPr>
          <w:rFonts w:hint="eastAsia" w:ascii="方正仿宋_GBK" w:hAnsi="方正仿宋_GBK" w:eastAsia="方正仿宋_GBK" w:cs="方正仿宋_GBK"/>
          <w:color w:val="auto"/>
          <w:spacing w:val="0"/>
          <w:sz w:val="31"/>
          <w:szCs w:val="31"/>
          <w:highlight w:val="none"/>
          <w:lang w:val="en-US" w:eastAsia="zh-CN"/>
        </w:rPr>
        <w:t>下降31.11%,</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bCs/>
          <w:kern w:val="0"/>
          <w:sz w:val="31"/>
          <w:szCs w:val="31"/>
          <w:highlight w:val="none"/>
          <w:lang w:val="en-US" w:eastAsia="zh-CN" w:bidi="ar-SA"/>
        </w:rPr>
        <w:t>根据中央八项规定，厉行节约</w:t>
      </w:r>
      <w:r>
        <w:rPr>
          <w:rFonts w:hint="eastAsia" w:ascii="方正仿宋_GBK" w:hAnsi="方正仿宋_GBK" w:eastAsia="方正仿宋_GBK" w:cs="方正仿宋_GBK"/>
          <w:color w:val="auto"/>
          <w:sz w:val="31"/>
          <w:szCs w:val="31"/>
          <w:highlight w:val="none"/>
          <w:lang w:val="zh-CN" w:eastAsia="zh-CN"/>
        </w:rPr>
        <w:t>。其中：因公出国（境）费支出0.00万元，占0.00%，比上年增加0.00万元，</w:t>
      </w:r>
      <w:r>
        <w:rPr>
          <w:rFonts w:hint="eastAsia" w:ascii="方正仿宋_GBK" w:hAnsi="方正仿宋_GBK" w:eastAsia="方正仿宋_GBK" w:cs="方正仿宋_GBK"/>
          <w:color w:val="auto"/>
          <w:spacing w:val="0"/>
          <w:sz w:val="31"/>
          <w:szCs w:val="31"/>
          <w:highlight w:val="none"/>
          <w:lang w:val="en-US" w:eastAsia="zh-CN"/>
        </w:rPr>
        <w:t>增长0.00%,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bCs/>
          <w:kern w:val="0"/>
          <w:sz w:val="31"/>
          <w:szCs w:val="31"/>
          <w:highlight w:val="none"/>
          <w:lang w:val="en-US" w:eastAsia="zh-CN" w:bidi="ar-SA"/>
        </w:rPr>
        <w:t>我单位无因公出国（境）费支出</w:t>
      </w:r>
      <w:r>
        <w:rPr>
          <w:rFonts w:hint="eastAsia" w:ascii="方正仿宋_GBK" w:hAnsi="方正仿宋_GBK" w:eastAsia="方正仿宋_GBK" w:cs="方正仿宋_GBK"/>
          <w:color w:val="auto"/>
          <w:sz w:val="31"/>
          <w:szCs w:val="31"/>
          <w:highlight w:val="none"/>
          <w:lang w:val="zh-CN" w:eastAsia="zh-CN"/>
        </w:rPr>
        <w:t>；公务用车购置及运行维护费支出3.61万元，占100.00%，比上年减少1.63万元，</w:t>
      </w:r>
      <w:r>
        <w:rPr>
          <w:rFonts w:hint="eastAsia" w:ascii="方正仿宋_GBK" w:hAnsi="方正仿宋_GBK" w:eastAsia="方正仿宋_GBK" w:cs="方正仿宋_GBK"/>
          <w:color w:val="auto"/>
          <w:spacing w:val="0"/>
          <w:sz w:val="31"/>
          <w:szCs w:val="31"/>
          <w:highlight w:val="none"/>
          <w:lang w:val="en-US" w:eastAsia="zh-CN"/>
        </w:rPr>
        <w:t>下降31.11%,</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bCs/>
          <w:kern w:val="0"/>
          <w:sz w:val="31"/>
          <w:szCs w:val="31"/>
          <w:highlight w:val="none"/>
          <w:lang w:val="en-US" w:eastAsia="zh-CN" w:bidi="ar-SA"/>
        </w:rPr>
        <w:t>根据中央八项规定，厉行节约</w:t>
      </w:r>
      <w:r>
        <w:rPr>
          <w:rFonts w:hint="eastAsia" w:ascii="方正仿宋_GBK" w:hAnsi="方正仿宋_GBK" w:eastAsia="方正仿宋_GBK" w:cs="方正仿宋_GBK"/>
          <w:color w:val="auto"/>
          <w:sz w:val="31"/>
          <w:szCs w:val="31"/>
          <w:highlight w:val="none"/>
          <w:lang w:val="zh-CN" w:eastAsia="zh-CN"/>
        </w:rPr>
        <w:t>；公务接待费支出0.00万元，占0.00%，比上年增加0.00万元，</w:t>
      </w:r>
      <w:r>
        <w:rPr>
          <w:rFonts w:hint="eastAsia" w:ascii="方正仿宋_GBK" w:hAnsi="方正仿宋_GBK" w:eastAsia="方正仿宋_GBK" w:cs="方正仿宋_GBK"/>
          <w:color w:val="auto"/>
          <w:spacing w:val="0"/>
          <w:sz w:val="31"/>
          <w:szCs w:val="31"/>
          <w:highlight w:val="none"/>
          <w:lang w:val="en-US" w:eastAsia="zh-CN"/>
        </w:rPr>
        <w:t>增长0.00%,</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bCs/>
          <w:kern w:val="0"/>
          <w:sz w:val="31"/>
          <w:szCs w:val="31"/>
          <w:highlight w:val="none"/>
          <w:lang w:val="en-US" w:eastAsia="zh-CN" w:bidi="ar-SA"/>
        </w:rPr>
        <w:t>我单位无公务接待费支出</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具体情况如下：</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因公出国（境）费支出0.00万元，开支内容包括</w:t>
      </w:r>
      <w:r>
        <w:rPr>
          <w:rFonts w:hint="eastAsia" w:ascii="方正仿宋_GBK" w:hAnsi="方正仿宋_GBK" w:eastAsia="方正仿宋_GBK" w:cs="方正仿宋_GBK"/>
          <w:bCs/>
          <w:kern w:val="0"/>
          <w:sz w:val="31"/>
          <w:szCs w:val="31"/>
          <w:highlight w:val="none"/>
          <w:lang w:val="en-US" w:eastAsia="zh-CN" w:bidi="ar-SA"/>
        </w:rPr>
        <w:t>我单位无因公出国（境）费支出</w:t>
      </w:r>
      <w:r>
        <w:rPr>
          <w:rFonts w:hint="eastAsia" w:ascii="方正仿宋_GBK" w:hAnsi="方正仿宋_GBK" w:eastAsia="方正仿宋_GBK" w:cs="方正仿宋_GBK"/>
          <w:color w:val="auto"/>
          <w:sz w:val="31"/>
          <w:szCs w:val="31"/>
          <w:highlight w:val="none"/>
          <w:lang w:val="zh-CN" w:eastAsia="zh-CN"/>
        </w:rPr>
        <w:t>。单位全年安排的因公出国（境）团组0个，因公出国（境）0人次。</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eastAsia="zh-CN"/>
        </w:rPr>
        <w:t>公务用车购置及运行维护费3.61万元，其中：公务用车购置费0.00万元，公务用车运行维护费3.61万元。公务用车运行维护费开支内容包括</w:t>
      </w:r>
      <w:r>
        <w:rPr>
          <w:rFonts w:hint="eastAsia" w:ascii="方正仿宋_GBK" w:hAnsi="方正仿宋_GBK" w:eastAsia="方正仿宋_GBK" w:cs="方正仿宋_GBK"/>
          <w:bCs/>
          <w:kern w:val="0"/>
          <w:sz w:val="31"/>
          <w:szCs w:val="31"/>
          <w:highlight w:val="none"/>
          <w:lang w:val="en-US" w:eastAsia="zh-CN" w:bidi="ar-SA"/>
        </w:rPr>
        <w:t>租赁费、维修费等</w:t>
      </w:r>
      <w:r>
        <w:rPr>
          <w:rFonts w:hint="eastAsia" w:ascii="方正仿宋_GBK" w:hAnsi="方正仿宋_GBK" w:eastAsia="方正仿宋_GBK" w:cs="方正仿宋_GBK"/>
          <w:color w:val="auto"/>
          <w:sz w:val="31"/>
          <w:szCs w:val="31"/>
          <w:highlight w:val="none"/>
          <w:lang w:val="zh-CN" w:eastAsia="zh-CN"/>
        </w:rPr>
        <w:t>。公务用车购置数0辆，公务用车保有量3辆。国有资产占用情况</w:t>
      </w:r>
      <w:r>
        <w:rPr>
          <w:rFonts w:hint="eastAsia" w:ascii="方正仿宋_GBK" w:hAnsi="方正仿宋_GBK" w:eastAsia="方正仿宋_GBK" w:cs="方正仿宋_GBK"/>
          <w:color w:val="auto"/>
          <w:sz w:val="31"/>
          <w:szCs w:val="31"/>
          <w:highlight w:val="none"/>
          <w:lang w:val="en-US" w:eastAsia="zh-CN"/>
        </w:rPr>
        <w:t>中固定资产车辆</w:t>
      </w:r>
      <w:r>
        <w:rPr>
          <w:rFonts w:hint="eastAsia" w:ascii="方正仿宋_GBK" w:hAnsi="方正仿宋_GBK" w:eastAsia="方正仿宋_GBK" w:cs="方正仿宋_GBK"/>
          <w:color w:val="auto"/>
          <w:sz w:val="31"/>
          <w:szCs w:val="31"/>
          <w:highlight w:val="none"/>
          <w:lang w:val="zh-CN" w:eastAsia="zh-CN"/>
        </w:rPr>
        <w:t>1辆，</w:t>
      </w:r>
      <w:r>
        <w:rPr>
          <w:rFonts w:hint="eastAsia" w:ascii="方正仿宋_GBK" w:hAnsi="方正仿宋_GBK" w:eastAsia="方正仿宋_GBK" w:cs="方正仿宋_GBK"/>
          <w:color w:val="auto"/>
          <w:sz w:val="31"/>
          <w:szCs w:val="31"/>
          <w:highlight w:val="none"/>
          <w:lang w:val="en-US" w:eastAsia="zh-CN"/>
        </w:rPr>
        <w:t>与</w:t>
      </w:r>
      <w:r>
        <w:rPr>
          <w:rFonts w:hint="eastAsia" w:ascii="方正仿宋_GBK" w:hAnsi="方正仿宋_GBK" w:eastAsia="方正仿宋_GBK" w:cs="方正仿宋_GBK"/>
          <w:color w:val="auto"/>
          <w:sz w:val="31"/>
          <w:szCs w:val="31"/>
          <w:highlight w:val="none"/>
          <w:lang w:val="zh-CN" w:eastAsia="zh-CN"/>
        </w:rPr>
        <w:t>公务用车</w:t>
      </w:r>
      <w:r>
        <w:rPr>
          <w:rFonts w:hint="eastAsia" w:ascii="方正仿宋_GBK" w:hAnsi="方正仿宋_GBK" w:eastAsia="方正仿宋_GBK" w:cs="方正仿宋_GBK"/>
          <w:color w:val="auto"/>
          <w:sz w:val="31"/>
          <w:szCs w:val="31"/>
          <w:highlight w:val="none"/>
          <w:lang w:val="en-US" w:eastAsia="zh-CN"/>
        </w:rPr>
        <w:t>保有量差异</w:t>
      </w:r>
      <w:r>
        <w:rPr>
          <w:rFonts w:hint="eastAsia" w:ascii="方正仿宋_GBK" w:hAnsi="方正仿宋_GBK" w:eastAsia="方正仿宋_GBK" w:cs="方正仿宋_GBK"/>
          <w:color w:val="auto"/>
          <w:sz w:val="31"/>
          <w:szCs w:val="31"/>
          <w:highlight w:val="none"/>
          <w:lang w:val="zh-CN" w:eastAsia="zh-CN"/>
        </w:rPr>
        <w:t>原因是：有租赁的一辆电车和一辆面包车</w:t>
      </w:r>
      <w:r>
        <w:rPr>
          <w:rFonts w:hint="eastAsia" w:ascii="方正仿宋_GBK" w:hAnsi="方正仿宋_GBK" w:eastAsia="方正仿宋_GBK" w:cs="方正仿宋_GBK"/>
          <w:bCs/>
          <w:kern w:val="0"/>
          <w:sz w:val="31"/>
          <w:szCs w:val="31"/>
          <w:highlight w:val="none"/>
          <w:lang w:val="zh-CN" w:eastAsia="zh-CN" w:bidi="ar-SA"/>
        </w:rPr>
        <w:t>不在编制内</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公务接待费0.00万元，开支内容包括</w:t>
      </w:r>
      <w:r>
        <w:rPr>
          <w:rFonts w:hint="eastAsia" w:ascii="方正仿宋_GBK" w:hAnsi="方正仿宋_GBK" w:eastAsia="方正仿宋_GBK" w:cs="方正仿宋_GBK"/>
          <w:bCs/>
          <w:kern w:val="0"/>
          <w:sz w:val="31"/>
          <w:szCs w:val="31"/>
          <w:highlight w:val="none"/>
          <w:lang w:val="en-US" w:eastAsia="zh-CN" w:bidi="ar-SA"/>
        </w:rPr>
        <w:t>我单位无公务接待费支出</w:t>
      </w:r>
      <w:r>
        <w:rPr>
          <w:rFonts w:hint="eastAsia" w:ascii="方正仿宋_GBK" w:hAnsi="方正仿宋_GBK" w:eastAsia="方正仿宋_GBK" w:cs="方正仿宋_GBK"/>
          <w:color w:val="auto"/>
          <w:sz w:val="31"/>
          <w:szCs w:val="31"/>
          <w:highlight w:val="none"/>
          <w:lang w:val="zh-CN" w:eastAsia="zh-CN"/>
        </w:rPr>
        <w:t>。单位全年安排的国内公务接待0批次，0人次。</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与</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预算相比</w:t>
      </w:r>
      <w:r>
        <w:rPr>
          <w:rFonts w:hint="eastAsia" w:ascii="方正仿宋_GBK" w:hAnsi="方正仿宋_GBK" w:eastAsia="方正仿宋_GBK" w:cs="方正仿宋_GBK"/>
          <w:color w:val="auto"/>
          <w:sz w:val="31"/>
          <w:szCs w:val="31"/>
          <w:highlight w:val="none"/>
          <w:lang w:val="en-US" w:eastAsia="zh-CN"/>
        </w:rPr>
        <w:t>,</w:t>
      </w:r>
      <w:r>
        <w:rPr>
          <w:rFonts w:hint="eastAsia" w:ascii="方正仿宋_GBK" w:hAnsi="方正仿宋_GBK" w:eastAsia="方正仿宋_GBK" w:cs="方正仿宋_GBK"/>
          <w:color w:val="auto"/>
          <w:sz w:val="31"/>
          <w:szCs w:val="31"/>
          <w:highlight w:val="none"/>
          <w:lang w:val="zh-CN" w:eastAsia="zh-CN"/>
        </w:rPr>
        <w:t>财政拨款“三公”经费支出</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预算数3.61万元，决算数3.61万元，预决算差异率0.00%，主要原因是：</w:t>
      </w:r>
      <w:r>
        <w:rPr>
          <w:rFonts w:hint="eastAsia" w:ascii="方正仿宋_GBK" w:hAnsi="方正仿宋_GBK" w:eastAsia="方正仿宋_GBK" w:cs="方正仿宋_GBK"/>
          <w:color w:val="auto"/>
          <w:sz w:val="31"/>
          <w:szCs w:val="31"/>
          <w:highlight w:val="none"/>
          <w:lang w:eastAsia="zh-CN"/>
        </w:rPr>
        <w:t>严格控制三公经费，预决算无差异</w:t>
      </w:r>
      <w:r>
        <w:rPr>
          <w:rFonts w:hint="eastAsia" w:ascii="方正仿宋_GBK" w:hAnsi="方正仿宋_GBK" w:eastAsia="方正仿宋_GBK" w:cs="方正仿宋_GBK"/>
          <w:color w:val="auto"/>
          <w:sz w:val="31"/>
          <w:szCs w:val="31"/>
          <w:highlight w:val="none"/>
          <w:lang w:val="zh-CN" w:eastAsia="zh-CN"/>
        </w:rPr>
        <w:t>。其中：因公出国（境）费</w:t>
      </w:r>
      <w:r>
        <w:rPr>
          <w:rFonts w:hint="eastAsia" w:ascii="方正仿宋_GBK" w:hAnsi="方正仿宋_GBK" w:eastAsia="方正仿宋_GBK" w:cs="方正仿宋_GBK"/>
          <w:color w:val="auto"/>
          <w:sz w:val="31"/>
          <w:szCs w:val="31"/>
          <w:highlight w:val="none"/>
          <w:lang w:val="en-US" w:eastAsia="zh-CN"/>
        </w:rPr>
        <w:t>全年预算数</w:t>
      </w:r>
      <w:r>
        <w:rPr>
          <w:rFonts w:hint="eastAsia" w:ascii="方正仿宋_GBK" w:hAnsi="方正仿宋_GBK" w:eastAsia="方正仿宋_GBK" w:cs="方正仿宋_GBK"/>
          <w:color w:val="auto"/>
          <w:sz w:val="31"/>
          <w:szCs w:val="31"/>
          <w:highlight w:val="none"/>
          <w:lang w:val="zh-CN" w:eastAsia="zh-CN"/>
        </w:rPr>
        <w:t>0.00万元，决算数0.00万元，预决算差异率0.00%，主要原因是：</w:t>
      </w:r>
      <w:r>
        <w:rPr>
          <w:rFonts w:hint="eastAsia" w:ascii="方正仿宋_GBK" w:hAnsi="方正仿宋_GBK" w:eastAsia="方正仿宋_GBK" w:cs="方正仿宋_GBK"/>
          <w:bCs/>
          <w:kern w:val="0"/>
          <w:sz w:val="31"/>
          <w:szCs w:val="31"/>
          <w:highlight w:val="none"/>
          <w:lang w:val="en-US" w:eastAsia="zh-CN" w:bidi="ar-SA"/>
        </w:rPr>
        <w:t>严格控制三公经费，预决算无差异</w:t>
      </w:r>
      <w:r>
        <w:rPr>
          <w:rFonts w:hint="eastAsia" w:ascii="方正仿宋_GBK" w:hAnsi="方正仿宋_GBK" w:eastAsia="方正仿宋_GBK" w:cs="方正仿宋_GBK"/>
          <w:color w:val="auto"/>
          <w:sz w:val="31"/>
          <w:szCs w:val="31"/>
          <w:highlight w:val="none"/>
          <w:lang w:val="zh-CN" w:eastAsia="zh-CN"/>
        </w:rPr>
        <w:t>；公务用车购置费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预算数0.00万元，决算数0.00万元，预决算差异率0.00%，主要原因是：</w:t>
      </w:r>
      <w:r>
        <w:rPr>
          <w:rFonts w:hint="eastAsia" w:ascii="方正仿宋_GBK" w:hAnsi="方正仿宋_GBK" w:eastAsia="方正仿宋_GBK" w:cs="方正仿宋_GBK"/>
          <w:bCs/>
          <w:kern w:val="0"/>
          <w:sz w:val="31"/>
          <w:szCs w:val="31"/>
          <w:highlight w:val="none"/>
          <w:lang w:val="en-US" w:eastAsia="zh-CN" w:bidi="ar-SA"/>
        </w:rPr>
        <w:t>严格控制三公经费，预决算无差异</w:t>
      </w:r>
      <w:r>
        <w:rPr>
          <w:rFonts w:hint="eastAsia" w:ascii="方正仿宋_GBK" w:hAnsi="方正仿宋_GBK" w:eastAsia="方正仿宋_GBK" w:cs="方正仿宋_GBK"/>
          <w:color w:val="auto"/>
          <w:sz w:val="31"/>
          <w:szCs w:val="31"/>
          <w:highlight w:val="none"/>
          <w:lang w:val="zh-CN" w:eastAsia="zh-CN"/>
        </w:rPr>
        <w:t>；公务用车运行费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预算数3.61万元，决算数3.61万元，预决算差异率0.00%，主要原因是：</w:t>
      </w:r>
      <w:r>
        <w:rPr>
          <w:rFonts w:hint="eastAsia" w:ascii="方正仿宋_GBK" w:hAnsi="方正仿宋_GBK" w:eastAsia="方正仿宋_GBK" w:cs="方正仿宋_GBK"/>
          <w:color w:val="auto"/>
          <w:sz w:val="31"/>
          <w:szCs w:val="31"/>
          <w:highlight w:val="none"/>
          <w:lang w:eastAsia="zh-CN"/>
        </w:rPr>
        <w:t>严格控制三公经费，预决算无差异</w:t>
      </w:r>
      <w:r>
        <w:rPr>
          <w:rFonts w:hint="eastAsia" w:ascii="方正仿宋_GBK" w:hAnsi="方正仿宋_GBK" w:eastAsia="方正仿宋_GBK" w:cs="方正仿宋_GBK"/>
          <w:color w:val="auto"/>
          <w:sz w:val="31"/>
          <w:szCs w:val="31"/>
          <w:highlight w:val="none"/>
          <w:lang w:val="zh-CN" w:eastAsia="zh-CN"/>
        </w:rPr>
        <w:t>；公务接待费</w:t>
      </w:r>
      <w:r>
        <w:rPr>
          <w:rFonts w:hint="eastAsia" w:ascii="方正仿宋_GBK" w:hAnsi="方正仿宋_GBK" w:eastAsia="方正仿宋_GBK" w:cs="方正仿宋_GBK"/>
          <w:color w:val="auto"/>
          <w:sz w:val="31"/>
          <w:szCs w:val="31"/>
          <w:highlight w:val="none"/>
          <w:lang w:val="en-US" w:eastAsia="zh-CN"/>
        </w:rPr>
        <w:t>全年</w:t>
      </w:r>
      <w:r>
        <w:rPr>
          <w:rFonts w:hint="eastAsia" w:ascii="方正仿宋_GBK" w:hAnsi="方正仿宋_GBK" w:eastAsia="方正仿宋_GBK" w:cs="方正仿宋_GBK"/>
          <w:color w:val="auto"/>
          <w:sz w:val="31"/>
          <w:szCs w:val="31"/>
          <w:highlight w:val="none"/>
          <w:lang w:val="zh-CN" w:eastAsia="zh-CN"/>
        </w:rPr>
        <w:t>预算数0.00万元，决算数0.00万元，预决算差异率0.00%，主要原因是：</w:t>
      </w:r>
      <w:r>
        <w:rPr>
          <w:rFonts w:hint="eastAsia" w:ascii="方正仿宋_GBK" w:hAnsi="方正仿宋_GBK" w:eastAsia="方正仿宋_GBK" w:cs="方正仿宋_GBK"/>
          <w:bCs/>
          <w:kern w:val="0"/>
          <w:sz w:val="31"/>
          <w:szCs w:val="31"/>
          <w:highlight w:val="none"/>
          <w:lang w:val="en-US" w:eastAsia="zh-CN" w:bidi="ar-SA"/>
        </w:rPr>
        <w:t>严格控制三公经费，预决算无差异</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val="en-US" w:eastAsia="zh-CN"/>
        </w:rPr>
      </w:pPr>
      <w:bookmarkStart w:id="18" w:name="_Toc7927"/>
      <w:bookmarkStart w:id="19" w:name="_Toc5810"/>
      <w:r>
        <w:rPr>
          <w:rFonts w:hint="eastAsia" w:ascii="方正黑体_GBK" w:hAnsi="方正黑体_GBK" w:eastAsia="方正黑体_GBK" w:cs="方正黑体_GBK"/>
          <w:bCs/>
          <w:color w:val="auto"/>
          <w:kern w:val="0"/>
          <w:sz w:val="31"/>
          <w:szCs w:val="31"/>
          <w:highlight w:val="none"/>
          <w:lang w:val="en-US" w:eastAsia="zh-CN"/>
        </w:rPr>
        <w:t>八、政府性基金预算财政拨款收入支出决算情况说明</w:t>
      </w:r>
      <w:bookmarkEnd w:id="18"/>
      <w:bookmarkEnd w:id="1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2023年度</w:t>
      </w:r>
      <w:r>
        <w:rPr>
          <w:rFonts w:hint="eastAsia" w:ascii="方正仿宋_GBK" w:hAnsi="方正仿宋_GBK" w:eastAsia="方正仿宋_GBK" w:cs="方正仿宋_GBK"/>
          <w:color w:val="auto"/>
          <w:sz w:val="31"/>
          <w:szCs w:val="31"/>
          <w:highlight w:val="none"/>
          <w:lang w:val="zh-CN"/>
        </w:rPr>
        <w:t>政府性基金预算</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rPr>
        <w:t>收入</w:t>
      </w:r>
      <w:r>
        <w:rPr>
          <w:rFonts w:hint="eastAsia" w:ascii="方正仿宋_GBK" w:hAnsi="方正仿宋_GBK" w:eastAsia="方正仿宋_GBK" w:cs="方正仿宋_GBK"/>
          <w:color w:val="auto"/>
          <w:sz w:val="31"/>
          <w:szCs w:val="31"/>
          <w:highlight w:val="none"/>
          <w:lang w:val="en-US" w:eastAsia="zh-CN"/>
        </w:rPr>
        <w:t>总计4.26</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en-US" w:eastAsia="zh-CN"/>
        </w:rPr>
        <w:t>其中：年初结转和结余0.00</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本年收入4.26</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zh-CN"/>
        </w:rPr>
        <w:t>政府性基金预算财政拨款支出</w:t>
      </w:r>
      <w:r>
        <w:rPr>
          <w:rFonts w:hint="eastAsia" w:ascii="方正仿宋_GBK" w:hAnsi="方正仿宋_GBK" w:eastAsia="方正仿宋_GBK" w:cs="方正仿宋_GBK"/>
          <w:color w:val="auto"/>
          <w:sz w:val="31"/>
          <w:szCs w:val="31"/>
          <w:highlight w:val="none"/>
          <w:lang w:val="en-US" w:eastAsia="zh-CN"/>
        </w:rPr>
        <w:t>总计4.26</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en-US" w:eastAsia="zh-CN"/>
        </w:rPr>
        <w:t>其中：年末结转和结余0.00</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本年支出4.26</w:t>
      </w:r>
      <w:r>
        <w:rPr>
          <w:rFonts w:hint="eastAsia" w:ascii="方正仿宋_GBK" w:hAnsi="方正仿宋_GBK" w:eastAsia="方正仿宋_GBK" w:cs="方正仿宋_GBK"/>
          <w:color w:val="auto"/>
          <w:sz w:val="31"/>
          <w:szCs w:val="31"/>
          <w:highlight w:val="none"/>
          <w:lang w:val="zh-CN"/>
        </w:rPr>
        <w:t>万元</w:t>
      </w:r>
      <w:r>
        <w:rPr>
          <w:rFonts w:hint="eastAsia" w:ascii="方正仿宋_GBK" w:hAnsi="方正仿宋_GBK" w:eastAsia="方正仿宋_GBK" w:cs="方正仿宋_GBK"/>
          <w:color w:val="auto"/>
          <w:sz w:val="31"/>
          <w:szCs w:val="31"/>
          <w:highlight w:val="none"/>
          <w:lang w:val="zh-CN" w:eastAsia="zh-CN"/>
        </w:rPr>
        <w:t>。</w:t>
      </w:r>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rPr>
        <w:t>政府性基金预算财政拨款</w:t>
      </w:r>
      <w:r>
        <w:rPr>
          <w:rFonts w:hint="eastAsia" w:ascii="方正仿宋_GBK" w:hAnsi="方正仿宋_GBK" w:eastAsia="方正仿宋_GBK" w:cs="方正仿宋_GBK"/>
          <w:color w:val="auto"/>
          <w:sz w:val="31"/>
          <w:szCs w:val="31"/>
          <w:highlight w:val="none"/>
          <w:lang w:val="en-US" w:eastAsia="zh-CN"/>
        </w:rPr>
        <w:t>收入支出</w:t>
      </w:r>
      <w:r>
        <w:rPr>
          <w:rFonts w:hint="eastAsia" w:ascii="方正仿宋_GBK" w:hAnsi="方正仿宋_GBK" w:eastAsia="方正仿宋_GBK" w:cs="方正仿宋_GBK"/>
          <w:color w:val="auto"/>
          <w:sz w:val="31"/>
          <w:szCs w:val="31"/>
          <w:highlight w:val="none"/>
          <w:lang w:val="zh-CN"/>
        </w:rPr>
        <w:t>与上年相比，增加4.26万元，增长</w:t>
      </w:r>
      <w:r>
        <w:rPr>
          <w:rFonts w:hint="eastAsia" w:ascii="方正仿宋_GBK" w:hAnsi="方正仿宋_GBK" w:eastAsia="方正仿宋_GBK" w:cs="方正仿宋_GBK"/>
          <w:color w:val="auto"/>
          <w:sz w:val="31"/>
          <w:szCs w:val="31"/>
          <w:highlight w:val="none"/>
          <w:lang w:val="en-US" w:eastAsia="zh-CN"/>
        </w:rPr>
        <w:t>100.00</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en-US" w:eastAsia="zh-CN"/>
        </w:rPr>
        <w:t>2022年度未安排此项支出</w:t>
      </w:r>
      <w:r>
        <w:rPr>
          <w:rFonts w:hint="eastAsia" w:ascii="方正仿宋_GBK" w:hAnsi="方正仿宋_GBK" w:eastAsia="方正仿宋_GBK" w:cs="方正仿宋_GBK"/>
          <w:color w:val="auto"/>
          <w:sz w:val="31"/>
          <w:szCs w:val="31"/>
          <w:highlight w:val="none"/>
          <w:lang w:val="zh-CN"/>
        </w:rPr>
        <w:t>。与</w:t>
      </w:r>
      <w:r>
        <w:rPr>
          <w:rFonts w:hint="eastAsia" w:ascii="方正仿宋_GBK" w:hAnsi="方正仿宋_GBK" w:eastAsia="方正仿宋_GBK" w:cs="方正仿宋_GBK"/>
          <w:color w:val="auto"/>
          <w:sz w:val="31"/>
          <w:szCs w:val="31"/>
          <w:highlight w:val="none"/>
          <w:lang w:val="zh-CN" w:eastAsia="zh-CN"/>
        </w:rPr>
        <w:t>年初预算</w:t>
      </w:r>
      <w:r>
        <w:rPr>
          <w:rFonts w:hint="eastAsia" w:ascii="方正仿宋_GBK" w:hAnsi="方正仿宋_GBK" w:eastAsia="方正仿宋_GBK" w:cs="方正仿宋_GBK"/>
          <w:color w:val="auto"/>
          <w:sz w:val="31"/>
          <w:szCs w:val="31"/>
          <w:highlight w:val="none"/>
          <w:lang w:val="zh-CN"/>
        </w:rPr>
        <w:t>相比</w:t>
      </w:r>
      <w:r>
        <w:rPr>
          <w:rFonts w:hint="eastAsia" w:ascii="方正仿宋_GBK" w:hAnsi="方正仿宋_GBK" w:eastAsia="方正仿宋_GBK" w:cs="方正仿宋_GBK"/>
          <w:color w:val="auto"/>
          <w:sz w:val="31"/>
          <w:szCs w:val="31"/>
          <w:highlight w:val="none"/>
          <w:lang w:val="en-US" w:eastAsia="zh-CN"/>
        </w:rPr>
        <w:t>,</w:t>
      </w:r>
      <w:r>
        <w:rPr>
          <w:rFonts w:hint="eastAsia" w:ascii="方正仿宋_GBK" w:hAnsi="方正仿宋_GBK" w:eastAsia="方正仿宋_GBK" w:cs="方正仿宋_GBK"/>
          <w:color w:val="auto"/>
          <w:sz w:val="31"/>
          <w:szCs w:val="31"/>
          <w:highlight w:val="none"/>
          <w:lang w:val="zh-CN" w:eastAsia="zh-CN"/>
        </w:rPr>
        <w:t>年初预算数</w:t>
      </w:r>
      <w:r>
        <w:rPr>
          <w:rFonts w:hint="eastAsia" w:ascii="方正仿宋_GBK" w:hAnsi="方正仿宋_GBK" w:eastAsia="方正仿宋_GBK" w:cs="方正仿宋_GBK"/>
          <w:color w:val="auto"/>
          <w:sz w:val="31"/>
          <w:szCs w:val="31"/>
          <w:highlight w:val="none"/>
          <w:lang w:val="en-US" w:eastAsia="zh-CN"/>
        </w:rPr>
        <w:t>18.02</w:t>
      </w:r>
      <w:r>
        <w:rPr>
          <w:rFonts w:hint="eastAsia" w:ascii="方正仿宋_GBK" w:hAnsi="方正仿宋_GBK" w:eastAsia="方正仿宋_GBK" w:cs="方正仿宋_GBK"/>
          <w:color w:val="auto"/>
          <w:sz w:val="31"/>
          <w:szCs w:val="31"/>
          <w:highlight w:val="none"/>
          <w:lang w:val="zh-CN"/>
        </w:rPr>
        <w:t>万元，决算数</w:t>
      </w:r>
      <w:r>
        <w:rPr>
          <w:rFonts w:hint="eastAsia" w:ascii="方正仿宋_GBK" w:hAnsi="方正仿宋_GBK" w:eastAsia="方正仿宋_GBK" w:cs="方正仿宋_GBK"/>
          <w:color w:val="auto"/>
          <w:sz w:val="31"/>
          <w:szCs w:val="31"/>
          <w:highlight w:val="none"/>
          <w:lang w:val="en-US" w:eastAsia="zh-CN"/>
        </w:rPr>
        <w:t>4.26</w:t>
      </w:r>
      <w:r>
        <w:rPr>
          <w:rFonts w:hint="eastAsia" w:ascii="方正仿宋_GBK" w:hAnsi="方正仿宋_GBK" w:eastAsia="方正仿宋_GBK" w:cs="方正仿宋_GBK"/>
          <w:color w:val="auto"/>
          <w:sz w:val="31"/>
          <w:szCs w:val="31"/>
          <w:highlight w:val="none"/>
          <w:lang w:val="zh-CN"/>
        </w:rPr>
        <w:t>万元，预决算差异率</w:t>
      </w:r>
      <w:r>
        <w:rPr>
          <w:rFonts w:hint="eastAsia" w:ascii="方正仿宋_GBK" w:hAnsi="方正仿宋_GBK" w:eastAsia="方正仿宋_GBK" w:cs="方正仿宋_GBK"/>
          <w:color w:val="auto"/>
          <w:sz w:val="31"/>
          <w:szCs w:val="31"/>
          <w:highlight w:val="none"/>
          <w:lang w:val="zh-CN" w:eastAsia="zh-CN"/>
        </w:rPr>
        <w:t>-76.3</w:t>
      </w:r>
      <w:r>
        <w:rPr>
          <w:rFonts w:hint="eastAsia" w:ascii="方正仿宋_GBK" w:hAnsi="方正仿宋_GBK" w:eastAsia="方正仿宋_GBK" w:cs="方正仿宋_GBK"/>
          <w:color w:val="auto"/>
          <w:sz w:val="31"/>
          <w:szCs w:val="31"/>
          <w:highlight w:val="none"/>
          <w:lang w:val="en-US" w:eastAsia="zh-CN"/>
        </w:rPr>
        <w:t>6</w:t>
      </w:r>
      <w:r>
        <w:rPr>
          <w:rFonts w:hint="eastAsia" w:ascii="方正仿宋_GBK" w:hAnsi="方正仿宋_GBK" w:eastAsia="方正仿宋_GBK" w:cs="方正仿宋_GBK"/>
          <w:color w:val="auto"/>
          <w:sz w:val="31"/>
          <w:szCs w:val="31"/>
          <w:highlight w:val="none"/>
          <w:lang w:val="zh-CN" w:eastAsia="zh-CN"/>
        </w:rPr>
        <w:t>%，主要原因是：</w:t>
      </w:r>
      <w:r>
        <w:rPr>
          <w:rFonts w:hint="eastAsia" w:ascii="方正仿宋_GBK" w:hAnsi="方正仿宋_GBK" w:eastAsia="方正仿宋_GBK" w:cs="方正仿宋_GBK"/>
          <w:bCs/>
          <w:kern w:val="0"/>
          <w:sz w:val="31"/>
          <w:szCs w:val="31"/>
          <w:highlight w:val="none"/>
          <w:lang w:val="en-US" w:eastAsia="zh-CN" w:bidi="ar-SA"/>
        </w:rPr>
        <w:t>根据中央八项规定，厉行节约</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rPr>
        <w:t>政府性基金预算财政拨款支出</w:t>
      </w:r>
      <w:r>
        <w:rPr>
          <w:rFonts w:hint="eastAsia" w:ascii="方正仿宋_GBK" w:hAnsi="方正仿宋_GBK" w:eastAsia="方正仿宋_GBK" w:cs="方正仿宋_GBK"/>
          <w:color w:val="auto"/>
          <w:sz w:val="31"/>
          <w:szCs w:val="31"/>
          <w:highlight w:val="none"/>
          <w:lang w:val="zh-CN" w:eastAsia="zh-CN"/>
        </w:rPr>
        <w:t>4.26</w:t>
      </w:r>
      <w:r>
        <w:rPr>
          <w:rFonts w:hint="eastAsia" w:ascii="方正仿宋_GBK" w:hAnsi="方正仿宋_GBK" w:eastAsia="方正仿宋_GBK" w:cs="方正仿宋_GBK"/>
          <w:color w:val="auto"/>
          <w:sz w:val="31"/>
          <w:szCs w:val="31"/>
          <w:highlight w:val="none"/>
          <w:lang w:val="zh-CN"/>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rPr>
      </w:pPr>
      <w:r>
        <w:rPr>
          <w:rFonts w:hint="eastAsia" w:ascii="方正仿宋_GBK" w:hAnsi="方正仿宋_GBK" w:eastAsia="方正仿宋_GBK" w:cs="方正仿宋_GBK"/>
          <w:color w:val="auto"/>
          <w:sz w:val="31"/>
          <w:szCs w:val="31"/>
          <w:highlight w:val="none"/>
          <w:lang w:val="zh-CN"/>
        </w:rPr>
        <w:t>1.城乡社区支出（类）国有土地使用权出让收入安排的支出（款）其他国有土地使用权出让收入安排的支出（项）:支出决算数为4.26</w:t>
      </w:r>
      <w:r>
        <w:rPr>
          <w:rFonts w:hint="eastAsia" w:ascii="方正仿宋_GBK" w:hAnsi="方正仿宋_GBK" w:eastAsia="方正仿宋_GBK" w:cs="方正仿宋_GBK"/>
          <w:color w:val="auto"/>
          <w:sz w:val="31"/>
          <w:szCs w:val="31"/>
          <w:highlight w:val="none"/>
          <w:lang w:val="en-US" w:eastAsia="zh-CN"/>
        </w:rPr>
        <w:t>万元</w:t>
      </w:r>
      <w:r>
        <w:rPr>
          <w:rFonts w:hint="eastAsia" w:ascii="方正仿宋_GBK" w:hAnsi="方正仿宋_GBK" w:eastAsia="方正仿宋_GBK" w:cs="方正仿宋_GBK"/>
          <w:color w:val="auto"/>
          <w:sz w:val="31"/>
          <w:szCs w:val="31"/>
          <w:highlight w:val="none"/>
          <w:lang w:val="zh-CN"/>
        </w:rPr>
        <w:t>，比上年决算</w:t>
      </w:r>
      <w:r>
        <w:rPr>
          <w:rFonts w:hint="eastAsia" w:ascii="方正仿宋_GBK" w:hAnsi="方正仿宋_GBK" w:eastAsia="方正仿宋_GBK" w:cs="方正仿宋_GBK"/>
          <w:color w:val="auto"/>
          <w:sz w:val="31"/>
          <w:szCs w:val="31"/>
          <w:highlight w:val="none"/>
          <w:lang w:val="en-US" w:eastAsia="zh-CN"/>
        </w:rPr>
        <w:t>增加</w:t>
      </w:r>
      <w:r>
        <w:rPr>
          <w:rFonts w:hint="eastAsia" w:ascii="方正仿宋_GBK" w:hAnsi="方正仿宋_GBK" w:eastAsia="方正仿宋_GBK" w:cs="方正仿宋_GBK"/>
          <w:color w:val="auto"/>
          <w:sz w:val="31"/>
          <w:szCs w:val="31"/>
          <w:highlight w:val="none"/>
          <w:lang w:val="zh-CN"/>
        </w:rPr>
        <w:t>4.26</w:t>
      </w:r>
      <w:r>
        <w:rPr>
          <w:rFonts w:hint="eastAsia" w:ascii="方正仿宋_GBK" w:hAnsi="方正仿宋_GBK" w:eastAsia="方正仿宋_GBK" w:cs="方正仿宋_GBK"/>
          <w:color w:val="auto"/>
          <w:sz w:val="31"/>
          <w:szCs w:val="31"/>
          <w:highlight w:val="none"/>
          <w:lang w:val="en-US" w:eastAsia="zh-CN"/>
        </w:rPr>
        <w:t>万元</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en-US" w:eastAsia="zh-CN"/>
        </w:rPr>
        <w:t>增长</w:t>
      </w:r>
      <w:r>
        <w:rPr>
          <w:rFonts w:hint="eastAsia" w:ascii="方正仿宋_GBK" w:hAnsi="方正仿宋_GBK" w:eastAsia="方正仿宋_GBK" w:cs="方正仿宋_GBK"/>
          <w:color w:val="auto"/>
          <w:sz w:val="31"/>
          <w:szCs w:val="31"/>
          <w:highlight w:val="none"/>
          <w:lang w:val="zh-CN"/>
        </w:rPr>
        <w:t>100%，主要原因是：</w:t>
      </w:r>
      <w:r>
        <w:rPr>
          <w:rFonts w:hint="eastAsia" w:ascii="方正仿宋_GBK" w:hAnsi="方正仿宋_GBK" w:eastAsia="方正仿宋_GBK" w:cs="方正仿宋_GBK"/>
          <w:color w:val="auto"/>
          <w:sz w:val="31"/>
          <w:szCs w:val="31"/>
          <w:highlight w:val="none"/>
          <w:lang w:val="en-US" w:eastAsia="zh-CN"/>
        </w:rPr>
        <w:t>2022</w:t>
      </w:r>
      <w:r>
        <w:rPr>
          <w:rFonts w:hint="eastAsia" w:ascii="方正仿宋_GBK" w:hAnsi="方正仿宋_GBK" w:eastAsia="方正仿宋_GBK" w:cs="方正仿宋_GBK"/>
          <w:bCs/>
          <w:kern w:val="0"/>
          <w:sz w:val="31"/>
          <w:szCs w:val="31"/>
          <w:highlight w:val="none"/>
          <w:lang w:val="en-US" w:eastAsia="zh-CN" w:bidi="ar-SA"/>
        </w:rPr>
        <w:t>年度未安排此科目预算</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2"/>
          <w:szCs w:val="32"/>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九、国有资本经营预算财政拨款收入支出决算情况说明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2023年度国有资本经营预算</w:t>
      </w:r>
      <w:r>
        <w:rPr>
          <w:rFonts w:hint="eastAsia" w:ascii="方正仿宋_GBK" w:hAnsi="方正仿宋_GBK" w:eastAsia="方正仿宋_GBK" w:cs="方正仿宋_GBK"/>
          <w:color w:val="auto"/>
          <w:sz w:val="31"/>
          <w:szCs w:val="31"/>
          <w:highlight w:val="none"/>
          <w:lang w:val="en-US" w:eastAsia="zh-CN"/>
        </w:rPr>
        <w:t>财政拨款</w:t>
      </w:r>
      <w:r>
        <w:rPr>
          <w:rFonts w:hint="eastAsia" w:ascii="方正仿宋_GBK" w:hAnsi="方正仿宋_GBK" w:eastAsia="方正仿宋_GBK" w:cs="方正仿宋_GBK"/>
          <w:color w:val="auto"/>
          <w:sz w:val="31"/>
          <w:szCs w:val="31"/>
          <w:highlight w:val="none"/>
          <w:lang w:val="zh-CN" w:eastAsia="zh-CN"/>
        </w:rPr>
        <w:t>收入</w:t>
      </w:r>
      <w:r>
        <w:rPr>
          <w:rFonts w:hint="eastAsia" w:ascii="方正仿宋_GBK" w:hAnsi="方正仿宋_GBK" w:eastAsia="方正仿宋_GBK" w:cs="方正仿宋_GBK"/>
          <w:color w:val="auto"/>
          <w:sz w:val="31"/>
          <w:szCs w:val="31"/>
          <w:highlight w:val="none"/>
          <w:lang w:val="en-US" w:eastAsia="zh-CN"/>
        </w:rPr>
        <w:t>总计26.57</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其中：年初结转和结余</w:t>
      </w:r>
      <w:r>
        <w:rPr>
          <w:rFonts w:hint="eastAsia" w:ascii="方正仿宋_GBK" w:hAnsi="方正仿宋_GBK" w:eastAsia="方正仿宋_GBK" w:cs="方正仿宋_GBK"/>
          <w:color w:val="auto"/>
          <w:sz w:val="31"/>
          <w:szCs w:val="31"/>
          <w:highlight w:val="none"/>
          <w:lang w:val="zh-CN" w:eastAsia="zh-CN"/>
        </w:rPr>
        <w:t>0.00万元，</w:t>
      </w:r>
      <w:r>
        <w:rPr>
          <w:rFonts w:hint="eastAsia" w:ascii="方正仿宋_GBK" w:hAnsi="方正仿宋_GBK" w:eastAsia="方正仿宋_GBK" w:cs="方正仿宋_GBK"/>
          <w:color w:val="auto"/>
          <w:sz w:val="31"/>
          <w:szCs w:val="31"/>
          <w:highlight w:val="none"/>
          <w:lang w:val="en-US" w:eastAsia="zh-CN"/>
        </w:rPr>
        <w:t>本年收入</w:t>
      </w:r>
      <w:r>
        <w:rPr>
          <w:rFonts w:hint="eastAsia" w:ascii="方正仿宋_GBK" w:hAnsi="方正仿宋_GBK" w:eastAsia="方正仿宋_GBK" w:cs="方正仿宋_GBK"/>
          <w:color w:val="auto"/>
          <w:sz w:val="31"/>
          <w:szCs w:val="31"/>
          <w:highlight w:val="none"/>
          <w:lang w:val="zh-CN" w:eastAsia="zh-CN"/>
        </w:rPr>
        <w:t>26.57万元。国有资本经营预算财政拨款支出</w:t>
      </w:r>
      <w:r>
        <w:rPr>
          <w:rFonts w:hint="eastAsia" w:ascii="方正仿宋_GBK" w:hAnsi="方正仿宋_GBK" w:eastAsia="方正仿宋_GBK" w:cs="方正仿宋_GBK"/>
          <w:color w:val="auto"/>
          <w:sz w:val="31"/>
          <w:szCs w:val="31"/>
          <w:highlight w:val="none"/>
          <w:lang w:val="en-US" w:eastAsia="zh-CN"/>
        </w:rPr>
        <w:t>总计26.57</w:t>
      </w:r>
      <w:r>
        <w:rPr>
          <w:rFonts w:hint="eastAsia" w:ascii="方正仿宋_GBK" w:hAnsi="方正仿宋_GBK" w:eastAsia="方正仿宋_GBK" w:cs="方正仿宋_GBK"/>
          <w:color w:val="auto"/>
          <w:sz w:val="31"/>
          <w:szCs w:val="31"/>
          <w:highlight w:val="none"/>
          <w:lang w:val="zh-CN" w:eastAsia="zh-CN"/>
        </w:rPr>
        <w:t>万元，</w:t>
      </w:r>
      <w:r>
        <w:rPr>
          <w:rFonts w:hint="eastAsia" w:ascii="方正仿宋_GBK" w:hAnsi="方正仿宋_GBK" w:eastAsia="方正仿宋_GBK" w:cs="方正仿宋_GBK"/>
          <w:color w:val="auto"/>
          <w:sz w:val="31"/>
          <w:szCs w:val="31"/>
          <w:highlight w:val="none"/>
          <w:lang w:val="en-US" w:eastAsia="zh-CN"/>
        </w:rPr>
        <w:t>其中：年末结转和结余</w:t>
      </w:r>
      <w:r>
        <w:rPr>
          <w:rFonts w:hint="eastAsia" w:ascii="方正仿宋_GBK" w:hAnsi="方正仿宋_GBK" w:eastAsia="方正仿宋_GBK" w:cs="方正仿宋_GBK"/>
          <w:color w:val="auto"/>
          <w:sz w:val="31"/>
          <w:szCs w:val="31"/>
          <w:highlight w:val="none"/>
          <w:lang w:val="zh-CN" w:eastAsia="zh-CN"/>
        </w:rPr>
        <w:t>0.00万元，</w:t>
      </w:r>
      <w:r>
        <w:rPr>
          <w:rFonts w:hint="eastAsia" w:ascii="方正仿宋_GBK" w:hAnsi="方正仿宋_GBK" w:eastAsia="方正仿宋_GBK" w:cs="方正仿宋_GBK"/>
          <w:color w:val="auto"/>
          <w:sz w:val="31"/>
          <w:szCs w:val="31"/>
          <w:highlight w:val="none"/>
          <w:lang w:val="en-US" w:eastAsia="zh-CN"/>
        </w:rPr>
        <w:t>本年支出</w:t>
      </w:r>
      <w:r>
        <w:rPr>
          <w:rFonts w:hint="eastAsia" w:ascii="方正仿宋_GBK" w:hAnsi="方正仿宋_GBK" w:eastAsia="方正仿宋_GBK" w:cs="方正仿宋_GBK"/>
          <w:color w:val="auto"/>
          <w:sz w:val="31"/>
          <w:szCs w:val="31"/>
          <w:highlight w:val="none"/>
          <w:lang w:val="zh-CN" w:eastAsia="zh-CN"/>
        </w:rPr>
        <w:t>26.57万元。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zh-CN" w:eastAsia="zh-CN"/>
        </w:rPr>
        <w:t>国有资本经营预算财政拨款</w:t>
      </w:r>
      <w:r>
        <w:rPr>
          <w:rFonts w:hint="eastAsia" w:ascii="方正仿宋_GBK" w:hAnsi="方正仿宋_GBK" w:eastAsia="方正仿宋_GBK" w:cs="方正仿宋_GBK"/>
          <w:color w:val="auto"/>
          <w:sz w:val="31"/>
          <w:szCs w:val="31"/>
          <w:highlight w:val="none"/>
          <w:lang w:val="en-US" w:eastAsia="zh-CN"/>
        </w:rPr>
        <w:t>收入支出</w:t>
      </w:r>
      <w:r>
        <w:rPr>
          <w:rFonts w:hint="eastAsia" w:ascii="方正仿宋_GBK" w:hAnsi="方正仿宋_GBK" w:eastAsia="方正仿宋_GBK" w:cs="方正仿宋_GBK"/>
          <w:color w:val="auto"/>
          <w:sz w:val="31"/>
          <w:szCs w:val="31"/>
          <w:highlight w:val="none"/>
          <w:lang w:val="zh-CN" w:eastAsia="zh-CN"/>
        </w:rPr>
        <w:t>与上年相比，增加26.57万元，增长100.00%，主要原因是：</w:t>
      </w:r>
      <w:r>
        <w:rPr>
          <w:rFonts w:hint="eastAsia" w:ascii="方正仿宋_GBK" w:hAnsi="方正仿宋_GBK" w:eastAsia="方正仿宋_GBK" w:cs="方正仿宋_GBK"/>
          <w:color w:val="auto"/>
          <w:sz w:val="31"/>
          <w:szCs w:val="31"/>
          <w:highlight w:val="none"/>
          <w:lang w:val="en-US" w:eastAsia="zh-CN"/>
        </w:rPr>
        <w:t>2022</w:t>
      </w:r>
      <w:r>
        <w:rPr>
          <w:rFonts w:hint="eastAsia" w:ascii="方正仿宋_GBK" w:hAnsi="方正仿宋_GBK" w:eastAsia="方正仿宋_GBK" w:cs="方正仿宋_GBK"/>
          <w:bCs/>
          <w:kern w:val="0"/>
          <w:sz w:val="31"/>
          <w:szCs w:val="31"/>
          <w:highlight w:val="none"/>
          <w:lang w:val="en-US" w:eastAsia="zh-CN" w:bidi="ar-SA"/>
        </w:rPr>
        <w:t>年度未安排此科目预算</w:t>
      </w:r>
      <w:r>
        <w:rPr>
          <w:rFonts w:hint="eastAsia" w:ascii="方正仿宋_GBK" w:hAnsi="方正仿宋_GBK" w:eastAsia="方正仿宋_GBK" w:cs="方正仿宋_GBK"/>
          <w:color w:val="auto"/>
          <w:sz w:val="31"/>
          <w:szCs w:val="31"/>
          <w:highlight w:val="none"/>
          <w:lang w:val="zh-CN" w:eastAsia="zh-CN"/>
        </w:rPr>
        <w:t>。与年初预算相比，年初预算数</w:t>
      </w:r>
      <w:r>
        <w:rPr>
          <w:rFonts w:hint="eastAsia" w:ascii="方正仿宋_GBK" w:hAnsi="方正仿宋_GBK" w:eastAsia="方正仿宋_GBK" w:cs="方正仿宋_GBK"/>
          <w:color w:val="auto"/>
          <w:sz w:val="31"/>
          <w:szCs w:val="31"/>
          <w:highlight w:val="none"/>
          <w:lang w:val="en-US" w:eastAsia="zh-CN"/>
        </w:rPr>
        <w:t>0.00</w:t>
      </w:r>
      <w:r>
        <w:rPr>
          <w:rFonts w:hint="eastAsia" w:ascii="方正仿宋_GBK" w:hAnsi="方正仿宋_GBK" w:eastAsia="方正仿宋_GBK" w:cs="方正仿宋_GBK"/>
          <w:color w:val="auto"/>
          <w:sz w:val="31"/>
          <w:szCs w:val="31"/>
          <w:highlight w:val="none"/>
          <w:lang w:val="zh-CN" w:eastAsia="zh-CN"/>
        </w:rPr>
        <w:t>万元，决算数</w:t>
      </w:r>
      <w:r>
        <w:rPr>
          <w:rFonts w:hint="eastAsia" w:ascii="方正仿宋_GBK" w:hAnsi="方正仿宋_GBK" w:eastAsia="方正仿宋_GBK" w:cs="方正仿宋_GBK"/>
          <w:color w:val="auto"/>
          <w:sz w:val="31"/>
          <w:szCs w:val="31"/>
          <w:highlight w:val="none"/>
          <w:lang w:val="en-US" w:eastAsia="zh-CN"/>
        </w:rPr>
        <w:t>26.57</w:t>
      </w:r>
      <w:r>
        <w:rPr>
          <w:rFonts w:hint="eastAsia" w:ascii="方正仿宋_GBK" w:hAnsi="方正仿宋_GBK" w:eastAsia="方正仿宋_GBK" w:cs="方正仿宋_GBK"/>
          <w:color w:val="auto"/>
          <w:sz w:val="31"/>
          <w:szCs w:val="31"/>
          <w:highlight w:val="none"/>
          <w:lang w:val="zh-CN" w:eastAsia="zh-CN"/>
        </w:rPr>
        <w:t>万元，预决算差异率</w:t>
      </w:r>
      <w:r>
        <w:rPr>
          <w:rFonts w:hint="eastAsia" w:ascii="方正仿宋_GBK" w:hAnsi="方正仿宋_GBK" w:eastAsia="方正仿宋_GBK" w:cs="方正仿宋_GBK"/>
          <w:color w:val="auto"/>
          <w:sz w:val="31"/>
          <w:szCs w:val="31"/>
          <w:highlight w:val="none"/>
          <w:lang w:val="en-US" w:eastAsia="zh-CN"/>
        </w:rPr>
        <w:t>100</w:t>
      </w:r>
      <w:r>
        <w:rPr>
          <w:rFonts w:hint="eastAsia" w:ascii="方正仿宋_GBK" w:hAnsi="方正仿宋_GBK" w:eastAsia="方正仿宋_GBK" w:cs="方正仿宋_GBK"/>
          <w:color w:val="auto"/>
          <w:sz w:val="31"/>
          <w:szCs w:val="31"/>
          <w:highlight w:val="none"/>
          <w:lang w:val="zh-CN" w:eastAsia="zh-CN"/>
        </w:rPr>
        <w:t>.00%，主要原因是：</w:t>
      </w:r>
      <w:r>
        <w:rPr>
          <w:rFonts w:hint="eastAsia" w:ascii="方正仿宋_GBK" w:hAnsi="方正仿宋_GBK" w:eastAsia="方正仿宋_GBK" w:cs="方正仿宋_GBK"/>
          <w:color w:val="auto"/>
          <w:sz w:val="31"/>
          <w:szCs w:val="31"/>
          <w:highlight w:val="none"/>
          <w:lang w:val="en-US" w:eastAsia="zh-CN"/>
        </w:rPr>
        <w:t>2023年度</w:t>
      </w:r>
      <w:r>
        <w:rPr>
          <w:rFonts w:hint="eastAsia" w:ascii="方正仿宋_GBK" w:hAnsi="方正仿宋_GBK" w:eastAsia="方正仿宋_GBK" w:cs="方正仿宋_GBK"/>
          <w:color w:val="auto"/>
          <w:sz w:val="31"/>
          <w:szCs w:val="31"/>
          <w:highlight w:val="none"/>
          <w:lang w:val="zh-CN" w:eastAsia="zh-CN"/>
        </w:rPr>
        <w:t>预算为后期调整。</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eastAsia="zh-CN"/>
        </w:rPr>
      </w:pPr>
      <w:r>
        <w:rPr>
          <w:rFonts w:hint="eastAsia" w:ascii="方正仿宋_GBK" w:hAnsi="方正仿宋_GBK" w:eastAsia="方正仿宋_GBK" w:cs="方正仿宋_GBK"/>
          <w:color w:val="auto"/>
          <w:sz w:val="31"/>
          <w:szCs w:val="31"/>
          <w:highlight w:val="none"/>
          <w:lang w:val="zh-CN" w:eastAsia="zh-CN"/>
        </w:rPr>
        <w:t>国有资本经营预算财政拨款支出</w:t>
      </w:r>
      <w:r>
        <w:rPr>
          <w:rFonts w:hint="eastAsia" w:ascii="方正仿宋_GBK" w:hAnsi="方正仿宋_GBK" w:eastAsia="方正仿宋_GBK" w:cs="方正仿宋_GBK"/>
          <w:color w:val="auto"/>
          <w:sz w:val="31"/>
          <w:szCs w:val="31"/>
          <w:highlight w:val="none"/>
          <w:lang w:val="en-US" w:eastAsia="zh-CN"/>
        </w:rPr>
        <w:t>26.57</w:t>
      </w:r>
      <w:r>
        <w:rPr>
          <w:rFonts w:hint="eastAsia" w:ascii="方正仿宋_GBK" w:hAnsi="方正仿宋_GBK" w:eastAsia="方正仿宋_GBK" w:cs="方正仿宋_GBK"/>
          <w:color w:val="auto"/>
          <w:sz w:val="31"/>
          <w:szCs w:val="31"/>
          <w:highlight w:val="none"/>
          <w:lang w:val="zh-CN" w:eastAsia="zh-CN"/>
        </w:rPr>
        <w:t>万元。</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kern w:val="0"/>
          <w:sz w:val="31"/>
          <w:szCs w:val="31"/>
          <w:highlight w:val="none"/>
        </w:rPr>
      </w:pPr>
      <w:r>
        <w:rPr>
          <w:rFonts w:hint="eastAsia" w:ascii="方正仿宋_GBK" w:hAnsi="方正仿宋_GBK" w:eastAsia="方正仿宋_GBK" w:cs="方正仿宋_GBK"/>
          <w:color w:val="auto"/>
          <w:kern w:val="0"/>
          <w:sz w:val="31"/>
          <w:szCs w:val="31"/>
          <w:highlight w:val="none"/>
        </w:rPr>
        <w:t>1.国有资本经营预算支出（类）解决历史遗留问题及改革成本支出（款）国有企业退休人员社会化管理补助支出（项）:支出决算数为26.57</w:t>
      </w:r>
      <w:r>
        <w:rPr>
          <w:rFonts w:hint="eastAsia" w:ascii="方正仿宋_GBK" w:hAnsi="方正仿宋_GBK" w:eastAsia="方正仿宋_GBK" w:cs="方正仿宋_GBK"/>
          <w:color w:val="auto"/>
          <w:kern w:val="0"/>
          <w:sz w:val="31"/>
          <w:szCs w:val="31"/>
          <w:highlight w:val="none"/>
          <w:lang w:val="en-US" w:eastAsia="zh-CN"/>
        </w:rPr>
        <w:t>万元</w:t>
      </w:r>
      <w:r>
        <w:rPr>
          <w:rFonts w:hint="eastAsia" w:ascii="方正仿宋_GBK" w:hAnsi="方正仿宋_GBK" w:eastAsia="方正仿宋_GBK" w:cs="方正仿宋_GBK"/>
          <w:color w:val="auto"/>
          <w:kern w:val="0"/>
          <w:sz w:val="31"/>
          <w:szCs w:val="31"/>
          <w:highlight w:val="none"/>
        </w:rPr>
        <w:t>，比上年决算</w:t>
      </w:r>
      <w:r>
        <w:rPr>
          <w:rFonts w:hint="eastAsia" w:ascii="方正仿宋_GBK" w:hAnsi="方正仿宋_GBK" w:eastAsia="方正仿宋_GBK" w:cs="方正仿宋_GBK"/>
          <w:color w:val="auto"/>
          <w:kern w:val="0"/>
          <w:sz w:val="31"/>
          <w:szCs w:val="31"/>
          <w:highlight w:val="none"/>
          <w:lang w:val="en-US" w:eastAsia="zh-CN"/>
        </w:rPr>
        <w:t>增加</w:t>
      </w:r>
      <w:r>
        <w:rPr>
          <w:rFonts w:hint="eastAsia" w:ascii="方正仿宋_GBK" w:hAnsi="方正仿宋_GBK" w:eastAsia="方正仿宋_GBK" w:cs="方正仿宋_GBK"/>
          <w:color w:val="auto"/>
          <w:kern w:val="0"/>
          <w:sz w:val="31"/>
          <w:szCs w:val="31"/>
          <w:highlight w:val="none"/>
        </w:rPr>
        <w:t>26.57</w:t>
      </w:r>
      <w:r>
        <w:rPr>
          <w:rFonts w:hint="eastAsia" w:ascii="方正仿宋_GBK" w:hAnsi="方正仿宋_GBK" w:eastAsia="方正仿宋_GBK" w:cs="方正仿宋_GBK"/>
          <w:color w:val="auto"/>
          <w:kern w:val="0"/>
          <w:sz w:val="31"/>
          <w:szCs w:val="31"/>
          <w:highlight w:val="none"/>
          <w:lang w:val="en-US" w:eastAsia="zh-CN"/>
        </w:rPr>
        <w:t>万元，增长</w:t>
      </w:r>
      <w:r>
        <w:rPr>
          <w:rFonts w:hint="eastAsia" w:ascii="方正仿宋_GBK" w:hAnsi="方正仿宋_GBK" w:eastAsia="方正仿宋_GBK" w:cs="方正仿宋_GBK"/>
          <w:color w:val="auto"/>
          <w:kern w:val="0"/>
          <w:sz w:val="31"/>
          <w:szCs w:val="31"/>
          <w:highlight w:val="none"/>
        </w:rPr>
        <w:t>100%，主要原因是：</w:t>
      </w:r>
      <w:r>
        <w:rPr>
          <w:rFonts w:hint="eastAsia" w:ascii="方正仿宋_GBK" w:hAnsi="方正仿宋_GBK" w:eastAsia="方正仿宋_GBK" w:cs="方正仿宋_GBK"/>
          <w:color w:val="auto"/>
          <w:kern w:val="0"/>
          <w:sz w:val="31"/>
          <w:szCs w:val="31"/>
          <w:highlight w:val="none"/>
          <w:lang w:val="en-US" w:eastAsia="zh-CN"/>
        </w:rPr>
        <w:t>2022</w:t>
      </w:r>
      <w:r>
        <w:rPr>
          <w:rFonts w:hint="eastAsia" w:ascii="方正仿宋_GBK" w:hAnsi="方正仿宋_GBK" w:eastAsia="方正仿宋_GBK" w:cs="方正仿宋_GBK"/>
          <w:bCs/>
          <w:kern w:val="0"/>
          <w:sz w:val="31"/>
          <w:szCs w:val="31"/>
          <w:highlight w:val="none"/>
          <w:lang w:val="en-US" w:eastAsia="zh-CN" w:bidi="ar-SA"/>
        </w:rPr>
        <w:t>年度未安排此科目预算</w:t>
      </w:r>
      <w:r>
        <w:rPr>
          <w:rFonts w:hint="eastAsia" w:ascii="方正仿宋_GBK" w:hAnsi="方正仿宋_GBK" w:eastAsia="方正仿宋_GBK" w:cs="方正仿宋_GBK"/>
          <w:color w:val="auto"/>
          <w:sz w:val="31"/>
          <w:szCs w:val="31"/>
          <w:highlight w:val="none"/>
          <w:lang w:val="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val="en-US" w:eastAsia="zh-CN"/>
        </w:rPr>
      </w:pPr>
      <w:bookmarkStart w:id="20" w:name="_Toc1235"/>
      <w:bookmarkStart w:id="21" w:name="_Toc7314"/>
      <w:r>
        <w:rPr>
          <w:rFonts w:hint="eastAsia" w:ascii="方正黑体_GBK" w:hAnsi="方正黑体_GBK" w:eastAsia="方正黑体_GBK" w:cs="方正黑体_GBK"/>
          <w:bCs/>
          <w:color w:val="auto"/>
          <w:kern w:val="0"/>
          <w:sz w:val="31"/>
          <w:szCs w:val="31"/>
          <w:highlight w:val="none"/>
          <w:lang w:val="en-US" w:eastAsia="zh-CN"/>
        </w:rPr>
        <w:t>十、其他重要事项的情况说明</w:t>
      </w:r>
      <w:bookmarkEnd w:id="20"/>
      <w:bookmarkEnd w:id="2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en-US" w:eastAsia="zh-CN"/>
        </w:rPr>
      </w:pPr>
      <w:bookmarkStart w:id="22" w:name="_Toc14519"/>
      <w:bookmarkStart w:id="23" w:name="_Toc13105"/>
      <w:r>
        <w:rPr>
          <w:rFonts w:hint="eastAsia" w:ascii="方正楷体_GBK" w:hAnsi="方正楷体_GBK" w:eastAsia="方正楷体_GBK" w:cs="方正楷体_GBK"/>
          <w:color w:val="auto"/>
          <w:sz w:val="31"/>
          <w:szCs w:val="31"/>
          <w:highlight w:val="none"/>
          <w:lang w:val="en-US" w:eastAsia="zh-CN"/>
        </w:rPr>
        <w:t>（一）机关运行经费支出情况</w:t>
      </w:r>
      <w:bookmarkEnd w:id="22"/>
      <w:bookmarkEnd w:id="23"/>
    </w:p>
    <w:p>
      <w:pPr>
        <w:keepNext w:val="0"/>
        <w:keepLines w:val="0"/>
        <w:pageBreakBefore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val="zh-CN" w:eastAsia="zh-CN"/>
        </w:rPr>
      </w:pPr>
      <w:bookmarkStart w:id="24" w:name="_Toc227"/>
      <w:bookmarkStart w:id="25" w:name="_Toc26704"/>
      <w:r>
        <w:rPr>
          <w:rFonts w:hint="eastAsia" w:ascii="方正仿宋_GBK" w:hAnsi="方正仿宋_GBK" w:eastAsia="方正仿宋_GBK" w:cs="方正仿宋_GBK"/>
          <w:color w:val="auto"/>
          <w:sz w:val="31"/>
          <w:szCs w:val="31"/>
          <w:highlight w:val="none"/>
          <w:lang w:val="zh-CN" w:eastAsia="zh-CN"/>
        </w:rPr>
        <w:t>2023年度</w:t>
      </w:r>
      <w:r>
        <w:rPr>
          <w:rFonts w:hint="eastAsia" w:ascii="方正仿宋_GBK" w:hAnsi="方正仿宋_GBK" w:eastAsia="方正仿宋_GBK" w:cs="方正仿宋_GBK"/>
          <w:color w:val="auto"/>
          <w:sz w:val="31"/>
          <w:szCs w:val="31"/>
          <w:highlight w:val="none"/>
          <w:lang w:val="en-US" w:eastAsia="zh-CN"/>
        </w:rPr>
        <w:t>库尔勒市永安街道办事处（行政单位和参照公务员法管理事业单位）机关运行经费支出18.13万元，比上年减少73.42万元，下降80.20%，主要原因是：</w:t>
      </w:r>
      <w:r>
        <w:rPr>
          <w:rFonts w:hint="eastAsia" w:ascii="方正仿宋_GBK" w:hAnsi="方正仿宋_GBK" w:eastAsia="方正仿宋_GBK" w:cs="方正仿宋_GBK"/>
          <w:bCs/>
          <w:kern w:val="0"/>
          <w:sz w:val="31"/>
          <w:szCs w:val="31"/>
          <w:highlight w:val="none"/>
          <w:lang w:val="en-US" w:eastAsia="zh-CN" w:bidi="ar-SA"/>
        </w:rPr>
        <w:t>根据中央八项规定，厉行节约</w:t>
      </w:r>
      <w:r>
        <w:rPr>
          <w:rFonts w:hint="eastAsia" w:ascii="方正仿宋_GBK" w:hAnsi="方正仿宋_GBK" w:eastAsia="方正仿宋_GBK" w:cs="方正仿宋_GBK"/>
          <w:color w:val="auto"/>
          <w:sz w:val="31"/>
          <w:szCs w:val="31"/>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zh-CN" w:eastAsia="zh-CN"/>
        </w:rPr>
      </w:pPr>
      <w:r>
        <w:rPr>
          <w:rFonts w:hint="eastAsia" w:ascii="方正楷体_GBK" w:hAnsi="方正楷体_GBK" w:eastAsia="方正楷体_GBK" w:cs="方正楷体_GBK"/>
          <w:color w:val="auto"/>
          <w:sz w:val="31"/>
          <w:szCs w:val="31"/>
          <w:highlight w:val="none"/>
          <w:lang w:val="zh-CN" w:eastAsia="zh-CN"/>
        </w:rPr>
        <w:t>（二）政府采购情况</w:t>
      </w:r>
      <w:bookmarkEnd w:id="24"/>
      <w:bookmarkEnd w:id="2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rPr>
      </w:pPr>
      <w:r>
        <w:rPr>
          <w:rFonts w:hint="eastAsia" w:ascii="方正仿宋_GBK" w:hAnsi="方正仿宋_GBK" w:eastAsia="方正仿宋_GBK" w:cs="方正仿宋_GBK"/>
          <w:color w:val="auto"/>
          <w:sz w:val="31"/>
          <w:szCs w:val="31"/>
          <w:highlight w:val="none"/>
          <w:lang w:val="zh-CN" w:eastAsia="zh-CN"/>
        </w:rPr>
        <w:t>2023年度</w:t>
      </w:r>
      <w:r>
        <w:rPr>
          <w:rFonts w:hint="eastAsia" w:ascii="方正仿宋_GBK" w:hAnsi="方正仿宋_GBK" w:eastAsia="方正仿宋_GBK" w:cs="方正仿宋_GBK"/>
          <w:color w:val="auto"/>
          <w:sz w:val="31"/>
          <w:szCs w:val="31"/>
          <w:highlight w:val="none"/>
          <w:lang w:val="zh-CN"/>
        </w:rPr>
        <w:t>政府采购支出总额</w:t>
      </w:r>
      <w:r>
        <w:rPr>
          <w:rFonts w:hint="eastAsia" w:ascii="方正仿宋_GBK" w:hAnsi="方正仿宋_GBK" w:eastAsia="方正仿宋_GBK" w:cs="方正仿宋_GBK"/>
          <w:color w:val="auto"/>
          <w:sz w:val="31"/>
          <w:szCs w:val="31"/>
          <w:highlight w:val="none"/>
          <w:lang w:val="zh-CN" w:eastAsia="zh-CN"/>
        </w:rPr>
        <w:t>6.21万元</w:t>
      </w:r>
      <w:r>
        <w:rPr>
          <w:rFonts w:hint="eastAsia" w:ascii="方正仿宋_GBK" w:hAnsi="方正仿宋_GBK" w:eastAsia="方正仿宋_GBK" w:cs="方正仿宋_GBK"/>
          <w:color w:val="auto"/>
          <w:sz w:val="31"/>
          <w:szCs w:val="31"/>
          <w:highlight w:val="none"/>
          <w:lang w:val="zh-CN"/>
        </w:rPr>
        <w:t>，</w:t>
      </w:r>
      <w:r>
        <w:rPr>
          <w:rFonts w:hint="eastAsia" w:ascii="方正仿宋_GBK" w:hAnsi="方正仿宋_GBK" w:eastAsia="方正仿宋_GBK" w:cs="方正仿宋_GBK"/>
          <w:color w:val="auto"/>
          <w:sz w:val="31"/>
          <w:szCs w:val="31"/>
          <w:highlight w:val="none"/>
          <w:lang w:val="zh-CN" w:eastAsia="zh-CN"/>
        </w:rPr>
        <w:t>其中：政府采购货物支出1.20万元、政府采购工程支出4.74万元、政府采购服务支出0.28万元。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zh-CN" w:eastAsia="zh-CN"/>
        </w:rPr>
        <w:t>授予中小企业合同金额6.21万元，占政府采购支出总额的100.00%，其中：授予小微企业合同金额5.62万元，占政府采购支出总额的90.</w:t>
      </w:r>
      <w:r>
        <w:rPr>
          <w:rFonts w:hint="eastAsia" w:ascii="方正仿宋_GBK" w:hAnsi="方正仿宋_GBK" w:eastAsia="方正仿宋_GBK" w:cs="方正仿宋_GBK"/>
          <w:color w:val="auto"/>
          <w:sz w:val="31"/>
          <w:szCs w:val="31"/>
          <w:highlight w:val="none"/>
          <w:lang w:val="en-US" w:eastAsia="zh-CN"/>
        </w:rPr>
        <w:t>50</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黑体" w:cs="Times New Roman"/>
          <w:color w:val="auto"/>
          <w:sz w:val="31"/>
          <w:szCs w:val="31"/>
          <w:highlight w:val="none"/>
          <w:lang w:val="zh-CN" w:eastAsia="zh-CN"/>
        </w:rPr>
      </w:pPr>
      <w:bookmarkStart w:id="26" w:name="_Toc8391"/>
      <w:bookmarkStart w:id="27" w:name="_Toc4591"/>
      <w:r>
        <w:rPr>
          <w:rFonts w:hint="eastAsia" w:ascii="方正楷体_GBK" w:hAnsi="方正楷体_GBK" w:eastAsia="方正楷体_GBK" w:cs="方正楷体_GBK"/>
          <w:color w:val="auto"/>
          <w:sz w:val="31"/>
          <w:szCs w:val="31"/>
          <w:highlight w:val="none"/>
          <w:lang w:val="zh-CN" w:eastAsia="zh-CN"/>
        </w:rPr>
        <w:t>（三）国有资产占用情况说明</w:t>
      </w:r>
      <w:bookmarkEnd w:id="26"/>
      <w:bookmarkEnd w:id="2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zh-CN" w:eastAsia="zh-CN"/>
        </w:rPr>
      </w:pPr>
      <w:r>
        <w:rPr>
          <w:rFonts w:hint="eastAsia" w:ascii="方正仿宋_GBK" w:hAnsi="方正仿宋_GBK" w:eastAsia="方正仿宋_GBK" w:cs="方正仿宋_GBK"/>
          <w:color w:val="auto"/>
          <w:sz w:val="31"/>
          <w:szCs w:val="31"/>
          <w:highlight w:val="none"/>
          <w:lang w:val="en-US" w:eastAsia="zh-CN"/>
        </w:rPr>
        <w:t>截至2023</w:t>
      </w:r>
      <w:r>
        <w:rPr>
          <w:rFonts w:hint="eastAsia" w:ascii="方正仿宋_GBK" w:hAnsi="方正仿宋_GBK" w:eastAsia="方正仿宋_GBK" w:cs="方正仿宋_GBK"/>
          <w:color w:val="auto"/>
          <w:sz w:val="31"/>
          <w:szCs w:val="31"/>
          <w:highlight w:val="none"/>
          <w:lang w:val="zh-CN" w:eastAsia="zh-CN"/>
        </w:rPr>
        <w:t>年</w:t>
      </w:r>
      <w:r>
        <w:rPr>
          <w:rFonts w:hint="eastAsia" w:ascii="方正仿宋_GBK" w:hAnsi="方正仿宋_GBK" w:eastAsia="方正仿宋_GBK" w:cs="方正仿宋_GBK"/>
          <w:color w:val="auto"/>
          <w:sz w:val="31"/>
          <w:szCs w:val="31"/>
          <w:highlight w:val="none"/>
          <w:lang w:val="en-US" w:eastAsia="zh-CN"/>
        </w:rPr>
        <w:t>12月31日</w:t>
      </w:r>
      <w:r>
        <w:rPr>
          <w:rFonts w:hint="eastAsia" w:ascii="方正仿宋_GBK" w:hAnsi="方正仿宋_GBK" w:eastAsia="方正仿宋_GBK" w:cs="方正仿宋_GBK"/>
          <w:color w:val="auto"/>
          <w:sz w:val="31"/>
          <w:szCs w:val="31"/>
          <w:highlight w:val="none"/>
          <w:lang w:val="zh-CN" w:eastAsia="zh-CN"/>
        </w:rPr>
        <w:t>，</w:t>
      </w:r>
      <w:r>
        <w:rPr>
          <w:rFonts w:hint="eastAsia" w:ascii="方正仿宋_GBK" w:hAnsi="方正仿宋_GBK" w:eastAsia="方正仿宋_GBK" w:cs="方正仿宋_GBK"/>
          <w:color w:val="auto"/>
          <w:sz w:val="31"/>
          <w:szCs w:val="31"/>
          <w:highlight w:val="none"/>
          <w:lang w:val="en-US" w:eastAsia="zh-CN"/>
        </w:rPr>
        <w:t>固定资产原值</w:t>
      </w:r>
      <w:r>
        <w:rPr>
          <w:rFonts w:hint="eastAsia" w:ascii="方正仿宋_GBK" w:hAnsi="方正仿宋_GBK" w:eastAsia="方正仿宋_GBK" w:cs="方正仿宋_GBK"/>
          <w:color w:val="auto"/>
          <w:sz w:val="31"/>
          <w:szCs w:val="31"/>
          <w:highlight w:val="none"/>
          <w:lang w:val="zh-CN" w:eastAsia="zh-CN"/>
        </w:rPr>
        <w:t>137.64</w:t>
      </w:r>
      <w:r>
        <w:rPr>
          <w:rFonts w:hint="eastAsia" w:ascii="方正仿宋_GBK" w:hAnsi="方正仿宋_GBK" w:eastAsia="方正仿宋_GBK" w:cs="方正仿宋_GBK"/>
          <w:color w:val="auto"/>
          <w:sz w:val="31"/>
          <w:szCs w:val="31"/>
          <w:highlight w:val="none"/>
          <w:lang w:val="en-US" w:eastAsia="zh-CN"/>
        </w:rPr>
        <w:t>万元，房</w:t>
      </w:r>
      <w:r>
        <w:rPr>
          <w:rFonts w:hint="eastAsia" w:ascii="方正仿宋_GBK" w:hAnsi="方正仿宋_GBK" w:eastAsia="方正仿宋_GBK" w:cs="方正仿宋_GBK"/>
          <w:color w:val="auto"/>
          <w:sz w:val="31"/>
          <w:szCs w:val="31"/>
          <w:highlight w:val="none"/>
          <w:lang w:val="zh-CN" w:eastAsia="zh-CN"/>
        </w:rPr>
        <w:t>屋0.0平方米，价值0.00万元。车辆1辆，价值0.69万元，其中：副部（省）级及以上领导用车0辆、主要</w:t>
      </w:r>
      <w:r>
        <w:rPr>
          <w:rFonts w:hint="eastAsia" w:ascii="方正仿宋_GBK" w:hAnsi="方正仿宋_GBK" w:eastAsia="方正仿宋_GBK" w:cs="方正仿宋_GBK"/>
          <w:color w:val="auto"/>
          <w:sz w:val="31"/>
          <w:szCs w:val="31"/>
          <w:highlight w:val="none"/>
          <w:lang w:val="en-US" w:eastAsia="zh-CN"/>
        </w:rPr>
        <w:t>负责人</w:t>
      </w:r>
      <w:r>
        <w:rPr>
          <w:rFonts w:hint="eastAsia" w:ascii="方正仿宋_GBK" w:hAnsi="方正仿宋_GBK" w:eastAsia="方正仿宋_GBK" w:cs="方正仿宋_GBK"/>
          <w:color w:val="auto"/>
          <w:sz w:val="31"/>
          <w:szCs w:val="31"/>
          <w:highlight w:val="none"/>
          <w:lang w:val="zh-CN" w:eastAsia="zh-CN"/>
        </w:rPr>
        <w:t>用车0辆、机要通信用车0辆、应急保障用车0辆、执法执勤用车0辆、特种专业技术用车0辆、离退休干部</w:t>
      </w:r>
      <w:r>
        <w:rPr>
          <w:rFonts w:hint="eastAsia" w:ascii="方正仿宋_GBK" w:hAnsi="方正仿宋_GBK" w:eastAsia="方正仿宋_GBK" w:cs="方正仿宋_GBK"/>
          <w:color w:val="auto"/>
          <w:sz w:val="31"/>
          <w:szCs w:val="31"/>
          <w:highlight w:val="none"/>
          <w:lang w:val="en-US" w:eastAsia="zh-CN"/>
        </w:rPr>
        <w:t>服务</w:t>
      </w:r>
      <w:r>
        <w:rPr>
          <w:rFonts w:hint="eastAsia" w:ascii="方正仿宋_GBK" w:hAnsi="方正仿宋_GBK" w:eastAsia="方正仿宋_GBK" w:cs="方正仿宋_GBK"/>
          <w:color w:val="auto"/>
          <w:sz w:val="31"/>
          <w:szCs w:val="31"/>
          <w:highlight w:val="none"/>
          <w:lang w:val="zh-CN" w:eastAsia="zh-CN"/>
        </w:rPr>
        <w:t>用车0辆、其他用车1辆，其他用车主要是：</w:t>
      </w:r>
      <w:r>
        <w:rPr>
          <w:rFonts w:hint="eastAsia" w:ascii="方正仿宋_GBK" w:hAnsi="方正仿宋_GBK" w:eastAsia="方正仿宋_GBK" w:cs="方正仿宋_GBK"/>
          <w:color w:val="auto"/>
          <w:sz w:val="31"/>
          <w:szCs w:val="31"/>
          <w:highlight w:val="none"/>
          <w:lang w:val="en-US" w:eastAsia="zh-CN"/>
        </w:rPr>
        <w:t>街道办公用车</w:t>
      </w:r>
      <w:r>
        <w:rPr>
          <w:rFonts w:hint="eastAsia" w:ascii="方正仿宋_GBK" w:hAnsi="方正仿宋_GBK" w:eastAsia="方正仿宋_GBK" w:cs="方正仿宋_GBK"/>
          <w:color w:val="auto"/>
          <w:sz w:val="31"/>
          <w:szCs w:val="31"/>
          <w:highlight w:val="none"/>
          <w:lang w:val="zh-CN" w:eastAsia="zh-CN"/>
        </w:rPr>
        <w:t>；单价100万元（含）以上设备（不含车辆）0</w:t>
      </w:r>
      <w:r>
        <w:rPr>
          <w:rFonts w:hint="eastAsia" w:ascii="方正仿宋_GBK" w:hAnsi="方正仿宋_GBK" w:eastAsia="方正仿宋_GBK" w:cs="方正仿宋_GBK"/>
          <w:color w:val="auto"/>
          <w:sz w:val="31"/>
          <w:szCs w:val="31"/>
          <w:highlight w:val="none"/>
          <w:lang w:val="en-US" w:eastAsia="zh-CN"/>
        </w:rPr>
        <w:t>台（</w:t>
      </w:r>
      <w:r>
        <w:rPr>
          <w:rFonts w:hint="eastAsia" w:ascii="方正仿宋_GBK" w:hAnsi="方正仿宋_GBK" w:eastAsia="方正仿宋_GBK" w:cs="方正仿宋_GBK"/>
          <w:color w:val="auto"/>
          <w:sz w:val="31"/>
          <w:szCs w:val="31"/>
          <w:highlight w:val="none"/>
          <w:lang w:val="zh-CN" w:eastAsia="zh-CN"/>
        </w:rPr>
        <w:t>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黑体" w:hAnsi="黑体" w:eastAsia="黑体" w:cs="宋体"/>
          <w:bCs/>
          <w:color w:val="auto"/>
          <w:kern w:val="0"/>
          <w:sz w:val="32"/>
          <w:szCs w:val="32"/>
          <w:highlight w:val="none"/>
          <w:lang w:eastAsia="zh-CN"/>
        </w:rPr>
      </w:pPr>
      <w:bookmarkStart w:id="28" w:name="_Toc11283"/>
      <w:bookmarkStart w:id="29" w:name="_Toc435"/>
      <w:r>
        <w:rPr>
          <w:rFonts w:hint="eastAsia" w:ascii="方正黑体_GBK" w:hAnsi="方正黑体_GBK" w:eastAsia="方正黑体_GBK" w:cs="方正黑体_GBK"/>
          <w:bCs/>
          <w:color w:val="auto"/>
          <w:kern w:val="0"/>
          <w:sz w:val="31"/>
          <w:szCs w:val="31"/>
          <w:highlight w:val="none"/>
          <w:lang w:val="en-US" w:eastAsia="zh-CN"/>
        </w:rPr>
        <w:t>十一、预算绩效的情况说明</w:t>
      </w:r>
      <w:bookmarkEnd w:id="28"/>
      <w:bookmarkEnd w:id="29"/>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en-US" w:eastAsia="zh-CN"/>
        </w:rPr>
        <w:t>根据预算绩效管理要求，我部门2023年度预算绩效管理整体支出绩效自评表1个，全年预算总额1290.95万元，实际执行总额1290.95万元；预算绩效评价项目5个，全年预算数340.32万元，全年执行数96.58万元。预算绩效管理取得的成效：一是各项资金的有效使用，对改善基层设施条件，加快构建现代化服务体系，为居民提供良好的生活环境，更好的长期开展基层综合治理工作起到了关键作用；二是为民办好事、办实事，提升了居民满意度。发现的问题及原因：一是项目资金执行率存在加强与上升空间，需要有关部门加强工作效率，在重点工作的完成率和完成度上都需要进一步提升。二是项目资金执行力度需进一步加强。下一步改进措施：一是细化预算编制工作，严格按照预算编制的相关制度和要求做好预算的编制，进一步加强预算管理意识；全面编制预算项目，优先保障固定的、相对刚性的费用支出项目，尽量压缩变动的、有控制空间的费用项目，进一步提高预算编制的科学性、严谨性和可控性；二是加强财务管理，严格财务审批。在费用保障支付时，按照预算规定的费用项目和用途进行资金使用、审核、列报支付，财务核算杜绝超预算支付的发生。三是加强项目实时监控，严格按照相关要求对相关项目的资金进行使用，确保资金专款专用及时有效。</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lang w:val="en-US" w:eastAsia="zh-CN"/>
        </w:rPr>
      </w:pPr>
      <w:r>
        <w:rPr>
          <w:rFonts w:hint="eastAsia" w:ascii="方正仿宋_GBK" w:hAnsi="方正仿宋_GBK" w:eastAsia="方正仿宋_GBK" w:cs="方正仿宋_GBK"/>
          <w:color w:val="auto"/>
          <w:sz w:val="31"/>
          <w:szCs w:val="31"/>
          <w:highlight w:val="none"/>
          <w:lang w:val="en-US" w:eastAsia="zh-CN"/>
        </w:rPr>
        <w:t>具体项目自评情况附绩效自评表及自评报告。</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黑体" w:hAnsi="黑体" w:eastAsia="黑体" w:cs="宋体"/>
          <w:bCs/>
          <w:color w:val="auto"/>
          <w:kern w:val="0"/>
          <w:sz w:val="32"/>
          <w:szCs w:val="32"/>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十二、其他需说明的事项</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kern w:val="0"/>
          <w:sz w:val="31"/>
          <w:szCs w:val="31"/>
          <w:highlight w:val="none"/>
          <w:lang w:val="en-US" w:eastAsia="zh-CN"/>
        </w:rPr>
      </w:pPr>
      <w:r>
        <w:rPr>
          <w:rFonts w:hint="eastAsia" w:ascii="方正仿宋_GBK" w:hAnsi="方正仿宋_GBK" w:eastAsia="方正仿宋_GBK" w:cs="方正仿宋_GBK"/>
          <w:color w:val="auto"/>
          <w:kern w:val="0"/>
          <w:sz w:val="31"/>
          <w:szCs w:val="31"/>
          <w:highlight w:val="none"/>
          <w:lang w:val="en-US" w:eastAsia="zh-CN"/>
        </w:rPr>
        <w:t>本部门无其他需说明事项。</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黑体" w:hAnsi="黑体" w:eastAsia="黑体"/>
          <w:color w:val="auto"/>
          <w:sz w:val="32"/>
          <w:szCs w:val="32"/>
          <w:highlight w:val="none"/>
        </w:rPr>
      </w:pPr>
      <w:bookmarkStart w:id="30" w:name="_Toc3250"/>
      <w:bookmarkStart w:id="31" w:name="_Toc24143"/>
      <w:r>
        <w:rPr>
          <w:rFonts w:hint="eastAsia" w:ascii="黑体" w:hAnsi="黑体" w:eastAsia="黑体"/>
          <w:color w:val="auto"/>
          <w:sz w:val="32"/>
          <w:szCs w:val="32"/>
          <w:highlight w:val="none"/>
        </w:rPr>
        <w:br w:type="page"/>
      </w:r>
      <w:r>
        <w:rPr>
          <w:rFonts w:hint="eastAsia" w:ascii="方正小标宋_GBK" w:hAnsi="方正小标宋_GBK" w:eastAsia="方正小标宋_GBK" w:cs="方正小标宋_GBK"/>
          <w:color w:val="auto"/>
          <w:sz w:val="31"/>
          <w:szCs w:val="31"/>
          <w:highlight w:val="none"/>
        </w:rPr>
        <w:t>第</w:t>
      </w:r>
      <w:r>
        <w:rPr>
          <w:rFonts w:hint="eastAsia" w:ascii="方正小标宋_GBK" w:hAnsi="方正小标宋_GBK" w:eastAsia="方正小标宋_GBK" w:cs="方正小标宋_GBK"/>
          <w:color w:val="auto"/>
          <w:sz w:val="31"/>
          <w:szCs w:val="31"/>
          <w:highlight w:val="none"/>
          <w:lang w:val="en-US" w:eastAsia="zh-CN"/>
        </w:rPr>
        <w:t>三</w:t>
      </w:r>
      <w:r>
        <w:rPr>
          <w:rFonts w:hint="eastAsia" w:ascii="方正小标宋_GBK" w:hAnsi="方正小标宋_GBK" w:eastAsia="方正小标宋_GBK" w:cs="方正小标宋_GBK"/>
          <w:color w:val="auto"/>
          <w:sz w:val="31"/>
          <w:szCs w:val="31"/>
          <w:highlight w:val="none"/>
        </w:rPr>
        <w:t>部分 专业名词解释</w:t>
      </w:r>
      <w:bookmarkEnd w:id="30"/>
      <w:bookmarkEnd w:id="31"/>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一、</w:t>
      </w:r>
      <w:r>
        <w:rPr>
          <w:rFonts w:hint="eastAsia" w:ascii="仿宋_GB2312" w:eastAsia="仿宋_GB2312"/>
          <w:b/>
          <w:bCs/>
          <w:color w:val="auto"/>
          <w:sz w:val="32"/>
          <w:szCs w:val="32"/>
          <w:highlight w:val="none"/>
        </w:rPr>
        <w:t>财政拨款收入：</w:t>
      </w:r>
      <w:r>
        <w:rPr>
          <w:rFonts w:hint="eastAsia" w:ascii="仿宋_GB2312" w:eastAsia="仿宋_GB2312"/>
          <w:color w:val="auto"/>
          <w:sz w:val="32"/>
          <w:szCs w:val="32"/>
          <w:highlight w:val="none"/>
        </w:rPr>
        <w:t>指同级财政当年拨付的资金。</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二、</w:t>
      </w:r>
      <w:r>
        <w:rPr>
          <w:rFonts w:hint="eastAsia" w:ascii="仿宋_GB2312" w:eastAsia="仿宋_GB2312"/>
          <w:b/>
          <w:bCs/>
          <w:color w:val="auto"/>
          <w:sz w:val="32"/>
          <w:szCs w:val="32"/>
          <w:highlight w:val="none"/>
        </w:rPr>
        <w:t>上级补助收入：</w:t>
      </w:r>
      <w:r>
        <w:rPr>
          <w:rFonts w:hint="eastAsia" w:ascii="仿宋_GB2312" w:eastAsia="仿宋_GB2312"/>
          <w:color w:val="auto"/>
          <w:sz w:val="32"/>
          <w:szCs w:val="32"/>
          <w:highlight w:val="none"/>
        </w:rPr>
        <w:t>指事业单位从主管部门和上级单位取得的非财政补助收入。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三、</w:t>
      </w:r>
      <w:r>
        <w:rPr>
          <w:rFonts w:hint="eastAsia" w:ascii="仿宋_GB2312" w:eastAsia="仿宋_GB2312"/>
          <w:b/>
          <w:bCs/>
          <w:color w:val="auto"/>
          <w:sz w:val="32"/>
          <w:szCs w:val="32"/>
          <w:highlight w:val="none"/>
        </w:rPr>
        <w:t>事业收入：</w:t>
      </w:r>
      <w:r>
        <w:rPr>
          <w:rFonts w:hint="eastAsia" w:ascii="仿宋_GB2312" w:eastAsia="仿宋_GB2312"/>
          <w:color w:val="auto"/>
          <w:sz w:val="32"/>
          <w:szCs w:val="32"/>
          <w:highlight w:val="none"/>
        </w:rPr>
        <w:t>指事业单位开展专业业务活动及其辅助活动所取得的收入。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四、</w:t>
      </w:r>
      <w:r>
        <w:rPr>
          <w:rFonts w:hint="eastAsia" w:ascii="仿宋_GB2312" w:eastAsia="仿宋_GB2312"/>
          <w:b/>
          <w:bCs/>
          <w:color w:val="auto"/>
          <w:sz w:val="32"/>
          <w:szCs w:val="32"/>
          <w:highlight w:val="none"/>
        </w:rPr>
        <w:t>经营收入：</w:t>
      </w:r>
      <w:r>
        <w:rPr>
          <w:rFonts w:hint="eastAsia" w:ascii="仿宋_GB2312" w:eastAsia="仿宋_GB2312"/>
          <w:color w:val="auto"/>
          <w:sz w:val="32"/>
          <w:szCs w:val="32"/>
          <w:highlight w:val="none"/>
        </w:rPr>
        <w:t>指事业单位在专业业务活动及其辅助活动之外开展非独立核算经营活动取得的收入。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五、</w:t>
      </w:r>
      <w:r>
        <w:rPr>
          <w:rFonts w:hint="eastAsia" w:ascii="仿宋_GB2312" w:eastAsia="仿宋_GB2312"/>
          <w:b/>
          <w:bCs/>
          <w:color w:val="auto"/>
          <w:sz w:val="32"/>
          <w:szCs w:val="32"/>
          <w:highlight w:val="none"/>
        </w:rPr>
        <w:t>附属单位上缴收入：</w:t>
      </w:r>
      <w:r>
        <w:rPr>
          <w:rFonts w:hint="eastAsia" w:ascii="仿宋_GB2312" w:eastAsia="仿宋_GB2312"/>
          <w:color w:val="auto"/>
          <w:sz w:val="32"/>
          <w:szCs w:val="32"/>
          <w:highlight w:val="none"/>
        </w:rPr>
        <w:t>指事业单位附属的独立核算单位按有关规定上缴的收入。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六、</w:t>
      </w:r>
      <w:r>
        <w:rPr>
          <w:rFonts w:hint="eastAsia" w:ascii="仿宋_GB2312" w:eastAsia="仿宋_GB2312"/>
          <w:b/>
          <w:bCs/>
          <w:color w:val="auto"/>
          <w:sz w:val="32"/>
          <w:szCs w:val="32"/>
          <w:highlight w:val="none"/>
        </w:rPr>
        <w:t>其他收入：</w:t>
      </w:r>
      <w:r>
        <w:rPr>
          <w:rFonts w:hint="eastAsia" w:ascii="仿宋_GB2312" w:eastAsia="仿宋_GB2312"/>
          <w:color w:val="auto"/>
          <w:sz w:val="32"/>
          <w:szCs w:val="32"/>
          <w:highlight w:val="none"/>
        </w:rPr>
        <w:t>指除上述“财政拨款收入”、“事业收入”、“经营收入”、“附属单位上缴收入”等之外取得的收入。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七、</w:t>
      </w:r>
      <w:r>
        <w:rPr>
          <w:rFonts w:hint="eastAsia" w:ascii="仿宋_GB2312" w:eastAsia="仿宋_GB2312"/>
          <w:b/>
          <w:bCs/>
          <w:color w:val="auto"/>
          <w:sz w:val="32"/>
          <w:szCs w:val="32"/>
          <w:highlight w:val="none"/>
          <w:lang w:eastAsia="zh-CN"/>
        </w:rPr>
        <w:t>年初</w:t>
      </w:r>
      <w:r>
        <w:rPr>
          <w:rFonts w:hint="eastAsia" w:ascii="仿宋_GB2312" w:eastAsia="仿宋_GB2312"/>
          <w:b/>
          <w:bCs/>
          <w:color w:val="auto"/>
          <w:sz w:val="32"/>
          <w:szCs w:val="32"/>
          <w:highlight w:val="none"/>
        </w:rPr>
        <w:t>结转和结余：</w:t>
      </w:r>
      <w:r>
        <w:rPr>
          <w:rFonts w:hint="eastAsia" w:ascii="仿宋_GB2312" w:eastAsia="仿宋_GB2312"/>
          <w:color w:val="auto"/>
          <w:sz w:val="32"/>
          <w:szCs w:val="32"/>
          <w:highlight w:val="none"/>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八、</w:t>
      </w:r>
      <w:r>
        <w:rPr>
          <w:rFonts w:hint="eastAsia" w:ascii="仿宋_GB2312" w:eastAsia="仿宋_GB2312"/>
          <w:b/>
          <w:bCs/>
          <w:color w:val="auto"/>
          <w:sz w:val="32"/>
          <w:szCs w:val="32"/>
          <w:highlight w:val="none"/>
        </w:rPr>
        <w:t>年末结转和结余：</w:t>
      </w:r>
      <w:r>
        <w:rPr>
          <w:rFonts w:hint="eastAsia" w:ascii="仿宋_GB2312" w:eastAsia="仿宋_GB2312"/>
          <w:color w:val="auto"/>
          <w:sz w:val="32"/>
          <w:szCs w:val="32"/>
          <w:highlight w:val="none"/>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九、</w:t>
      </w:r>
      <w:r>
        <w:rPr>
          <w:rFonts w:hint="eastAsia" w:ascii="仿宋_GB2312" w:eastAsia="仿宋_GB2312"/>
          <w:b/>
          <w:bCs/>
          <w:color w:val="auto"/>
          <w:sz w:val="32"/>
          <w:szCs w:val="32"/>
          <w:highlight w:val="none"/>
        </w:rPr>
        <w:t>基本支出：</w:t>
      </w:r>
      <w:r>
        <w:rPr>
          <w:rFonts w:hint="eastAsia" w:ascii="仿宋_GB2312" w:eastAsia="仿宋_GB2312"/>
          <w:color w:val="auto"/>
          <w:sz w:val="32"/>
          <w:szCs w:val="32"/>
          <w:highlight w:val="none"/>
        </w:rPr>
        <w:t>指为保障机构正常运转、完成日常工作任务而发生的人员支出和公用支出。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jc w:val="left"/>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十、</w:t>
      </w:r>
      <w:r>
        <w:rPr>
          <w:rFonts w:hint="eastAsia" w:ascii="仿宋_GB2312" w:eastAsia="仿宋_GB2312"/>
          <w:b/>
          <w:bCs/>
          <w:color w:val="auto"/>
          <w:sz w:val="32"/>
          <w:szCs w:val="32"/>
          <w:highlight w:val="none"/>
        </w:rPr>
        <w:t>项目支出：</w:t>
      </w:r>
      <w:r>
        <w:rPr>
          <w:rFonts w:hint="eastAsia" w:ascii="仿宋_GB2312" w:eastAsia="仿宋_GB2312"/>
          <w:color w:val="auto"/>
          <w:sz w:val="32"/>
          <w:szCs w:val="32"/>
          <w:highlight w:val="none"/>
        </w:rPr>
        <w:t>指在基本支出之外为完成特定行政任务和事业发展目标所发生的支出。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十一、</w:t>
      </w:r>
      <w:r>
        <w:rPr>
          <w:rFonts w:hint="eastAsia" w:ascii="仿宋_GB2312" w:eastAsia="仿宋_GB2312"/>
          <w:b/>
          <w:bCs/>
          <w:color w:val="auto"/>
          <w:sz w:val="32"/>
          <w:szCs w:val="32"/>
          <w:highlight w:val="none"/>
        </w:rPr>
        <w:t>经营支出：</w:t>
      </w:r>
      <w:r>
        <w:rPr>
          <w:rFonts w:hint="eastAsia" w:ascii="仿宋_GB2312" w:eastAsia="仿宋_GB2312"/>
          <w:color w:val="auto"/>
          <w:sz w:val="32"/>
          <w:szCs w:val="32"/>
          <w:highlight w:val="none"/>
        </w:rPr>
        <w:t>指事业单位在专业业务活动及其辅助活动之外开展非独立核算经营活动发生的支出。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十二、</w:t>
      </w:r>
      <w:r>
        <w:rPr>
          <w:rFonts w:hint="eastAsia" w:ascii="仿宋_GB2312" w:eastAsia="仿宋_GB2312"/>
          <w:b/>
          <w:bCs/>
          <w:color w:val="auto"/>
          <w:sz w:val="32"/>
          <w:szCs w:val="32"/>
          <w:highlight w:val="none"/>
        </w:rPr>
        <w:t>对附属单位补助支出：</w:t>
      </w:r>
      <w:r>
        <w:rPr>
          <w:rFonts w:hint="eastAsia" w:ascii="仿宋_GB2312" w:eastAsia="仿宋_GB2312"/>
          <w:color w:val="auto"/>
          <w:sz w:val="32"/>
          <w:szCs w:val="32"/>
          <w:highlight w:val="none"/>
        </w:rPr>
        <w:t>指事业单位发生的用非财政预算资金对附属单位的补助支出。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43" w:firstLineChars="200"/>
        <w:textAlignment w:val="auto"/>
        <w:rPr>
          <w:rFonts w:hint="eastAsia" w:ascii="仿宋_GB2312" w:eastAsia="仿宋_GB2312"/>
          <w:color w:val="auto"/>
          <w:sz w:val="32"/>
          <w:szCs w:val="32"/>
          <w:highlight w:val="none"/>
          <w:lang w:eastAsia="zh-CN"/>
        </w:rPr>
      </w:pPr>
      <w:r>
        <w:rPr>
          <w:rFonts w:hint="eastAsia" w:ascii="仿宋_GB2312" w:eastAsia="仿宋_GB2312"/>
          <w:b/>
          <w:bCs/>
          <w:color w:val="auto"/>
          <w:sz w:val="32"/>
          <w:szCs w:val="32"/>
          <w:highlight w:val="none"/>
          <w:lang w:val="en-US" w:eastAsia="zh-CN"/>
        </w:rPr>
        <w:t>十三、</w:t>
      </w:r>
      <w:r>
        <w:rPr>
          <w:rFonts w:hint="eastAsia" w:ascii="仿宋_GB2312" w:eastAsia="仿宋_GB2312"/>
          <w:b/>
          <w:bCs/>
          <w:color w:val="auto"/>
          <w:sz w:val="32"/>
          <w:szCs w:val="32"/>
          <w:highlight w:val="none"/>
        </w:rPr>
        <w:t>“三公”经费：</w:t>
      </w:r>
      <w:r>
        <w:rPr>
          <w:rFonts w:hint="eastAsia" w:ascii="仿宋_GB2312" w:eastAsia="仿宋_GB2312"/>
          <w:color w:val="auto"/>
          <w:sz w:val="32"/>
          <w:szCs w:val="32"/>
          <w:highlight w:val="none"/>
        </w:rPr>
        <w:t>指用财政拨款安排的因公出国（境）费、公务用车购置及运行费和公务接待费。其中，因公出国（境）费反映单位公务出国（境）的</w:t>
      </w:r>
      <w:r>
        <w:rPr>
          <w:rFonts w:hint="eastAsia" w:ascii="仿宋_GB2312" w:eastAsia="仿宋_GB2312"/>
          <w:color w:val="auto"/>
          <w:sz w:val="32"/>
          <w:szCs w:val="32"/>
          <w:highlight w:val="none"/>
          <w:lang w:eastAsia="zh-CN"/>
        </w:rPr>
        <w:t>国际旅费、国外城市间交通费、</w:t>
      </w:r>
      <w:r>
        <w:rPr>
          <w:rFonts w:hint="eastAsia" w:ascii="仿宋_GB2312" w:eastAsia="仿宋_GB2312"/>
          <w:color w:val="auto"/>
          <w:sz w:val="32"/>
          <w:szCs w:val="32"/>
          <w:highlight w:val="none"/>
        </w:rPr>
        <w:t>住宿费、伙食费、培训费、</w:t>
      </w:r>
      <w:r>
        <w:rPr>
          <w:rFonts w:hint="eastAsia" w:ascii="仿宋_GB2312" w:eastAsia="仿宋_GB2312"/>
          <w:color w:val="auto"/>
          <w:sz w:val="32"/>
          <w:szCs w:val="32"/>
          <w:highlight w:val="none"/>
          <w:lang w:eastAsia="zh-CN"/>
        </w:rPr>
        <w:t>公</w:t>
      </w:r>
      <w:r>
        <w:rPr>
          <w:rFonts w:hint="eastAsia" w:ascii="仿宋_GB2312" w:eastAsia="仿宋_GB2312"/>
          <w:color w:val="auto"/>
          <w:sz w:val="32"/>
          <w:szCs w:val="32"/>
          <w:highlight w:val="none"/>
        </w:rPr>
        <w:t>杂费等支出；公务用车购置费</w:t>
      </w:r>
      <w:r>
        <w:rPr>
          <w:rFonts w:hint="eastAsia" w:ascii="仿宋_GB2312" w:eastAsia="仿宋_GB2312"/>
          <w:color w:val="auto"/>
          <w:sz w:val="32"/>
          <w:szCs w:val="32"/>
          <w:highlight w:val="none"/>
          <w:lang w:eastAsia="zh-CN"/>
        </w:rPr>
        <w:t>反映公务用车购置支出（含车辆购置税、牌照费）；</w:t>
      </w:r>
      <w:r>
        <w:rPr>
          <w:rFonts w:hint="eastAsia" w:ascii="仿宋_GB2312" w:eastAsia="仿宋_GB2312"/>
          <w:color w:val="auto"/>
          <w:sz w:val="32"/>
          <w:szCs w:val="32"/>
          <w:highlight w:val="none"/>
        </w:rPr>
        <w:t>公务用车运行</w:t>
      </w:r>
      <w:r>
        <w:rPr>
          <w:rFonts w:hint="eastAsia" w:ascii="仿宋_GB2312" w:eastAsia="仿宋_GB2312"/>
          <w:color w:val="auto"/>
          <w:sz w:val="32"/>
          <w:szCs w:val="32"/>
          <w:highlight w:val="none"/>
          <w:lang w:eastAsia="zh-CN"/>
        </w:rPr>
        <w:t>维护</w:t>
      </w:r>
      <w:r>
        <w:rPr>
          <w:rFonts w:hint="eastAsia" w:ascii="仿宋_GB2312" w:eastAsia="仿宋_GB2312"/>
          <w:color w:val="auto"/>
          <w:sz w:val="32"/>
          <w:szCs w:val="32"/>
          <w:highlight w:val="none"/>
        </w:rPr>
        <w:t>费反映</w:t>
      </w:r>
      <w:r>
        <w:rPr>
          <w:rFonts w:hint="eastAsia" w:ascii="仿宋_GB2312" w:eastAsia="仿宋_GB2312"/>
          <w:color w:val="auto"/>
          <w:sz w:val="32"/>
          <w:szCs w:val="32"/>
          <w:highlight w:val="none"/>
          <w:lang w:eastAsia="zh-CN"/>
        </w:rPr>
        <w:t>单位按规定保留的公务用车燃料费、维修费、</w:t>
      </w:r>
      <w:r>
        <w:rPr>
          <w:rFonts w:hint="eastAsia" w:ascii="仿宋_GB2312" w:eastAsia="仿宋_GB2312"/>
          <w:color w:val="auto"/>
          <w:sz w:val="32"/>
          <w:szCs w:val="32"/>
          <w:highlight w:val="none"/>
        </w:rPr>
        <w:t>过路过桥费、保险费、安全奖励费用等支出</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公务接待费反映单位按规定开支的各类公务接待（含外宾接待）</w:t>
      </w:r>
      <w:r>
        <w:rPr>
          <w:rFonts w:hint="eastAsia" w:ascii="仿宋_GB2312" w:eastAsia="仿宋_GB2312"/>
          <w:color w:val="auto"/>
          <w:sz w:val="32"/>
          <w:szCs w:val="32"/>
          <w:highlight w:val="none"/>
          <w:lang w:eastAsia="zh-CN"/>
        </w:rPr>
        <w:t>费用</w:t>
      </w:r>
      <w:r>
        <w:rPr>
          <w:rFonts w:hint="eastAsia" w:ascii="仿宋_GB2312" w:eastAsia="仿宋_GB2312"/>
          <w:color w:val="auto"/>
          <w:sz w:val="32"/>
          <w:szCs w:val="32"/>
          <w:highlight w:val="none"/>
        </w:rPr>
        <w:t>。</w:t>
      </w:r>
    </w:p>
    <w:p>
      <w:pPr>
        <w:keepNext w:val="0"/>
        <w:keepLines w:val="0"/>
        <w:pageBreakBefore w:val="0"/>
        <w:widowControl w:val="0"/>
        <w:kinsoku/>
        <w:wordWrap/>
        <w:overflowPunct/>
        <w:topLinePunct w:val="0"/>
        <w:bidi w:val="0"/>
        <w:adjustRightInd/>
        <w:snapToGrid/>
        <w:spacing w:line="560" w:lineRule="exact"/>
        <w:ind w:firstLine="643" w:firstLineChars="200"/>
        <w:textAlignment w:val="auto"/>
        <w:rPr>
          <w:rFonts w:hint="eastAsia" w:ascii="仿宋_GB2312" w:eastAsia="仿宋_GB2312"/>
          <w:color w:val="auto"/>
          <w:sz w:val="32"/>
          <w:szCs w:val="32"/>
          <w:highlight w:val="none"/>
        </w:rPr>
      </w:pPr>
      <w:r>
        <w:rPr>
          <w:rFonts w:hint="eastAsia" w:ascii="仿宋_GB2312" w:eastAsia="仿宋_GB2312"/>
          <w:b/>
          <w:bCs/>
          <w:color w:val="auto"/>
          <w:sz w:val="32"/>
          <w:szCs w:val="32"/>
          <w:highlight w:val="none"/>
          <w:lang w:val="en-US" w:eastAsia="zh-CN"/>
        </w:rPr>
        <w:t>十四、</w:t>
      </w:r>
      <w:r>
        <w:rPr>
          <w:rFonts w:hint="eastAsia" w:ascii="仿宋_GB2312" w:eastAsia="仿宋_GB2312"/>
          <w:b/>
          <w:bCs/>
          <w:color w:val="auto"/>
          <w:sz w:val="32"/>
          <w:szCs w:val="32"/>
          <w:highlight w:val="none"/>
        </w:rPr>
        <w:t>机关运行经费：</w:t>
      </w:r>
      <w:r>
        <w:rPr>
          <w:rFonts w:hint="eastAsia" w:ascii="仿宋_GB2312" w:eastAsia="仿宋_GB2312"/>
          <w:color w:val="auto"/>
          <w:sz w:val="32"/>
          <w:szCs w:val="32"/>
          <w:highlight w:val="none"/>
        </w:rPr>
        <w:t>行政单位和参照公务员法管理的事业单位财政拨款基本支出中的公用经费支出。</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center"/>
        <w:textAlignment w:val="auto"/>
        <w:outlineLvl w:val="0"/>
        <w:rPr>
          <w:rFonts w:hint="eastAsia" w:ascii="黑体" w:hAnsi="黑体" w:eastAsia="黑体"/>
          <w:color w:val="auto"/>
          <w:sz w:val="32"/>
          <w:szCs w:val="32"/>
          <w:highlight w:val="none"/>
        </w:rPr>
      </w:pPr>
      <w:r>
        <w:rPr>
          <w:rFonts w:hint="eastAsia" w:ascii="仿宋_GB2312" w:eastAsia="仿宋_GB2312"/>
          <w:color w:val="auto"/>
          <w:sz w:val="32"/>
          <w:szCs w:val="32"/>
          <w:highlight w:val="none"/>
        </w:rPr>
        <w:br w:type="page"/>
      </w:r>
      <w:r>
        <w:rPr>
          <w:rFonts w:hint="eastAsia" w:ascii="方正小标宋_GBK" w:hAnsi="方正小标宋_GBK" w:eastAsia="方正小标宋_GBK" w:cs="方正小标宋_GBK"/>
          <w:color w:val="auto"/>
          <w:sz w:val="31"/>
          <w:szCs w:val="31"/>
          <w:highlight w:val="none"/>
        </w:rPr>
        <w:t>第四部分 部门决算报表（见附表）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32" w:name="_Toc2183"/>
      <w:bookmarkStart w:id="33" w:name="_Toc6062"/>
      <w:r>
        <w:rPr>
          <w:rFonts w:hint="eastAsia" w:ascii="黑体" w:hAnsi="黑体" w:eastAsia="仿宋_GB2312" w:cs="宋体"/>
          <w:bCs/>
          <w:color w:val="auto"/>
          <w:kern w:val="0"/>
          <w:sz w:val="32"/>
          <w:szCs w:val="32"/>
          <w:highlight w:val="none"/>
        </w:rPr>
        <w:t>一、《收入支出决算总表》</w:t>
      </w:r>
      <w:bookmarkEnd w:id="32"/>
      <w:bookmarkEnd w:id="3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34" w:name="_Toc30364"/>
      <w:bookmarkStart w:id="35" w:name="_Toc24532"/>
      <w:r>
        <w:rPr>
          <w:rFonts w:hint="eastAsia" w:ascii="黑体" w:hAnsi="黑体" w:eastAsia="仿宋_GB2312" w:cs="宋体"/>
          <w:bCs/>
          <w:color w:val="auto"/>
          <w:kern w:val="0"/>
          <w:sz w:val="32"/>
          <w:szCs w:val="32"/>
          <w:highlight w:val="none"/>
        </w:rPr>
        <w:t>二、《收入决算表》</w:t>
      </w:r>
      <w:bookmarkEnd w:id="34"/>
      <w:bookmarkEnd w:id="35"/>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36" w:name="_Toc32434"/>
      <w:bookmarkStart w:id="37" w:name="_Toc21304"/>
      <w:r>
        <w:rPr>
          <w:rFonts w:hint="eastAsia" w:ascii="黑体" w:hAnsi="黑体" w:eastAsia="仿宋_GB2312" w:cs="宋体"/>
          <w:bCs/>
          <w:color w:val="auto"/>
          <w:kern w:val="0"/>
          <w:sz w:val="32"/>
          <w:szCs w:val="32"/>
          <w:highlight w:val="none"/>
        </w:rPr>
        <w:t>三、《支出决算表》</w:t>
      </w:r>
      <w:bookmarkEnd w:id="36"/>
      <w:bookmarkEnd w:id="37"/>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38" w:name="_Toc14238"/>
      <w:bookmarkStart w:id="39" w:name="_Toc28786"/>
      <w:r>
        <w:rPr>
          <w:rFonts w:hint="eastAsia" w:ascii="黑体" w:hAnsi="黑体" w:eastAsia="仿宋_GB2312" w:cs="宋体"/>
          <w:bCs/>
          <w:color w:val="auto"/>
          <w:kern w:val="0"/>
          <w:sz w:val="32"/>
          <w:szCs w:val="32"/>
          <w:highlight w:val="none"/>
        </w:rPr>
        <w:t>四、《财政拨款收入支出决算总表》</w:t>
      </w:r>
      <w:bookmarkEnd w:id="38"/>
      <w:bookmarkEnd w:id="39"/>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40" w:name="_Toc10347"/>
      <w:bookmarkStart w:id="41" w:name="_Toc14869"/>
      <w:r>
        <w:rPr>
          <w:rFonts w:hint="eastAsia" w:ascii="黑体" w:hAnsi="黑体" w:eastAsia="仿宋_GB2312" w:cs="宋体"/>
          <w:bCs/>
          <w:color w:val="auto"/>
          <w:kern w:val="0"/>
          <w:sz w:val="32"/>
          <w:szCs w:val="32"/>
          <w:highlight w:val="none"/>
        </w:rPr>
        <w:t>五、《一般公共预算财政拨款支出决算表》</w:t>
      </w:r>
      <w:bookmarkEnd w:id="40"/>
      <w:bookmarkEnd w:id="41"/>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42" w:name="_Toc5626"/>
      <w:bookmarkStart w:id="43" w:name="_Toc8884"/>
      <w:r>
        <w:rPr>
          <w:rFonts w:hint="eastAsia" w:ascii="黑体" w:hAnsi="黑体" w:eastAsia="仿宋_GB2312" w:cs="宋体"/>
          <w:bCs/>
          <w:color w:val="auto"/>
          <w:kern w:val="0"/>
          <w:sz w:val="32"/>
          <w:szCs w:val="32"/>
          <w:highlight w:val="none"/>
        </w:rPr>
        <w:t>六、《一般公共预算财政拨款基本支出决算表》</w:t>
      </w:r>
      <w:bookmarkEnd w:id="42"/>
      <w:bookmarkEnd w:id="4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r>
        <w:rPr>
          <w:rFonts w:hint="eastAsia" w:ascii="黑体" w:hAnsi="黑体" w:eastAsia="仿宋_GB2312" w:cs="宋体"/>
          <w:bCs/>
          <w:color w:val="auto"/>
          <w:kern w:val="0"/>
          <w:sz w:val="32"/>
          <w:szCs w:val="32"/>
          <w:highlight w:val="none"/>
        </w:rPr>
        <w:t>七、</w:t>
      </w:r>
      <w:bookmarkStart w:id="44" w:name="_Toc29106"/>
      <w:bookmarkStart w:id="45" w:name="_Toc32663"/>
      <w:r>
        <w:rPr>
          <w:rFonts w:hint="eastAsia" w:ascii="黑体" w:hAnsi="黑体" w:eastAsia="仿宋_GB2312" w:cs="宋体"/>
          <w:bCs/>
          <w:color w:val="auto"/>
          <w:kern w:val="0"/>
          <w:sz w:val="32"/>
          <w:szCs w:val="32"/>
          <w:highlight w:val="none"/>
        </w:rPr>
        <w:t>《财政拨款“三公”经费支出决算表》</w:t>
      </w:r>
      <w:bookmarkEnd w:id="44"/>
      <w:bookmarkEnd w:id="45"/>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bookmarkStart w:id="46" w:name="_Toc7643"/>
      <w:bookmarkStart w:id="47" w:name="_Toc5453"/>
      <w:r>
        <w:rPr>
          <w:rFonts w:hint="eastAsia" w:ascii="黑体" w:hAnsi="黑体" w:eastAsia="仿宋_GB2312" w:cs="宋体"/>
          <w:bCs/>
          <w:color w:val="auto"/>
          <w:kern w:val="0"/>
          <w:sz w:val="32"/>
          <w:szCs w:val="32"/>
          <w:highlight w:val="none"/>
        </w:rPr>
        <w:t>八、《政府性基金预算财政拨款收入支出决算表》</w:t>
      </w:r>
      <w:bookmarkEnd w:id="46"/>
      <w:bookmarkEnd w:id="47"/>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r>
        <w:rPr>
          <w:rFonts w:hint="eastAsia" w:ascii="黑体" w:hAnsi="黑体" w:eastAsia="仿宋_GB2312" w:cs="宋体"/>
          <w:bCs/>
          <w:color w:val="auto"/>
          <w:kern w:val="0"/>
          <w:sz w:val="32"/>
          <w:szCs w:val="32"/>
          <w:highlight w:val="none"/>
          <w:lang w:val="en-US" w:eastAsia="zh-CN"/>
        </w:rPr>
        <w:t>九</w:t>
      </w:r>
      <w:r>
        <w:rPr>
          <w:rFonts w:hint="eastAsia" w:ascii="黑体" w:hAnsi="黑体" w:eastAsia="仿宋_GB2312" w:cs="宋体"/>
          <w:bCs/>
          <w:color w:val="auto"/>
          <w:kern w:val="0"/>
          <w:sz w:val="32"/>
          <w:szCs w:val="32"/>
          <w:highlight w:val="none"/>
        </w:rPr>
        <w:t>、《</w:t>
      </w:r>
      <w:r>
        <w:rPr>
          <w:rFonts w:hint="eastAsia" w:ascii="黑体" w:hAnsi="黑体" w:eastAsia="仿宋_GB2312" w:cs="宋体"/>
          <w:bCs/>
          <w:color w:val="auto"/>
          <w:kern w:val="0"/>
          <w:sz w:val="32"/>
          <w:szCs w:val="32"/>
          <w:highlight w:val="none"/>
          <w:lang w:eastAsia="zh-CN"/>
        </w:rPr>
        <w:t>国有资本经营</w:t>
      </w:r>
      <w:r>
        <w:rPr>
          <w:rFonts w:hint="eastAsia" w:ascii="黑体" w:hAnsi="黑体" w:eastAsia="仿宋_GB2312" w:cs="宋体"/>
          <w:bCs/>
          <w:color w:val="auto"/>
          <w:kern w:val="0"/>
          <w:sz w:val="32"/>
          <w:szCs w:val="32"/>
          <w:highlight w:val="none"/>
        </w:rPr>
        <w:t>预算财政拨款收入支出决算表》</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color w:val="auto"/>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59264" behindDoc="0" locked="0" layoutInCell="1" allowOverlap="1">
            <wp:simplePos x="0" y="0"/>
            <wp:positionH relativeFrom="column">
              <wp:posOffset>-259715</wp:posOffset>
            </wp:positionH>
            <wp:positionV relativeFrom="page">
              <wp:posOffset>1946910</wp:posOffset>
            </wp:positionV>
            <wp:extent cx="5855970" cy="6209030"/>
            <wp:effectExtent l="0" t="0" r="11430" b="1270"/>
            <wp:wrapSquare wrapText="bothSides"/>
            <wp:docPr id="2" name="图片 2"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1"/>
                    <pic:cNvPicPr>
                      <a:picLocks noChangeAspect="1"/>
                    </pic:cNvPicPr>
                  </pic:nvPicPr>
                  <pic:blipFill>
                    <a:blip r:embed="rId6"/>
                    <a:stretch>
                      <a:fillRect/>
                    </a:stretch>
                  </pic:blipFill>
                  <pic:spPr>
                    <a:xfrm>
                      <a:off x="0" y="0"/>
                      <a:ext cx="5855970" cy="620903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0288" behindDoc="0" locked="0" layoutInCell="1" allowOverlap="1">
            <wp:simplePos x="0" y="0"/>
            <wp:positionH relativeFrom="column">
              <wp:posOffset>-262255</wp:posOffset>
            </wp:positionH>
            <wp:positionV relativeFrom="page">
              <wp:posOffset>2567940</wp:posOffset>
            </wp:positionV>
            <wp:extent cx="5836285" cy="5297170"/>
            <wp:effectExtent l="0" t="0" r="12065" b="17780"/>
            <wp:wrapSquare wrapText="bothSides"/>
            <wp:docPr id="3" name="图片 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2"/>
                    <pic:cNvPicPr>
                      <a:picLocks noChangeAspect="1"/>
                    </pic:cNvPicPr>
                  </pic:nvPicPr>
                  <pic:blipFill>
                    <a:blip r:embed="rId7"/>
                    <a:stretch>
                      <a:fillRect/>
                    </a:stretch>
                  </pic:blipFill>
                  <pic:spPr>
                    <a:xfrm>
                      <a:off x="0" y="0"/>
                      <a:ext cx="5836285" cy="529717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1312" behindDoc="0" locked="0" layoutInCell="1" allowOverlap="1">
            <wp:simplePos x="0" y="0"/>
            <wp:positionH relativeFrom="column">
              <wp:posOffset>-222885</wp:posOffset>
            </wp:positionH>
            <wp:positionV relativeFrom="page">
              <wp:posOffset>2445385</wp:posOffset>
            </wp:positionV>
            <wp:extent cx="5852795" cy="5953760"/>
            <wp:effectExtent l="0" t="0" r="14605" b="8890"/>
            <wp:wrapSquare wrapText="bothSides"/>
            <wp:docPr id="4" name="图片 4"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3"/>
                    <pic:cNvPicPr>
                      <a:picLocks noChangeAspect="1"/>
                    </pic:cNvPicPr>
                  </pic:nvPicPr>
                  <pic:blipFill>
                    <a:blip r:embed="rId8"/>
                    <a:stretch>
                      <a:fillRect/>
                    </a:stretch>
                  </pic:blipFill>
                  <pic:spPr>
                    <a:xfrm>
                      <a:off x="0" y="0"/>
                      <a:ext cx="5852795" cy="595376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2336" behindDoc="0" locked="0" layoutInCell="1" allowOverlap="1">
            <wp:simplePos x="0" y="0"/>
            <wp:positionH relativeFrom="column">
              <wp:posOffset>-190500</wp:posOffset>
            </wp:positionH>
            <wp:positionV relativeFrom="page">
              <wp:posOffset>3101340</wp:posOffset>
            </wp:positionV>
            <wp:extent cx="5803900" cy="4451350"/>
            <wp:effectExtent l="0" t="0" r="6350" b="6350"/>
            <wp:wrapSquare wrapText="bothSides"/>
            <wp:docPr id="5" name="图片 5"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4"/>
                    <pic:cNvPicPr>
                      <a:picLocks noChangeAspect="1"/>
                    </pic:cNvPicPr>
                  </pic:nvPicPr>
                  <pic:blipFill>
                    <a:blip r:embed="rId9"/>
                    <a:stretch>
                      <a:fillRect/>
                    </a:stretch>
                  </pic:blipFill>
                  <pic:spPr>
                    <a:xfrm>
                      <a:off x="0" y="0"/>
                      <a:ext cx="5803900" cy="445135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3360" behindDoc="0" locked="0" layoutInCell="1" allowOverlap="1">
            <wp:simplePos x="0" y="0"/>
            <wp:positionH relativeFrom="column">
              <wp:posOffset>-244475</wp:posOffset>
            </wp:positionH>
            <wp:positionV relativeFrom="page">
              <wp:posOffset>1909445</wp:posOffset>
            </wp:positionV>
            <wp:extent cx="5824220" cy="6804660"/>
            <wp:effectExtent l="0" t="0" r="5080" b="15240"/>
            <wp:wrapSquare wrapText="bothSides"/>
            <wp:docPr id="6" name="图片 6" descr="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5"/>
                    <pic:cNvPicPr>
                      <a:picLocks noChangeAspect="1"/>
                    </pic:cNvPicPr>
                  </pic:nvPicPr>
                  <pic:blipFill>
                    <a:blip r:embed="rId10"/>
                    <a:stretch>
                      <a:fillRect/>
                    </a:stretch>
                  </pic:blipFill>
                  <pic:spPr>
                    <a:xfrm>
                      <a:off x="0" y="0"/>
                      <a:ext cx="5824220" cy="680466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both"/>
        <w:textAlignment w:val="auto"/>
        <w:outlineLvl w:val="1"/>
        <w:rPr>
          <w:rFonts w:hint="eastAsia" w:ascii="黑体" w:hAnsi="黑体" w:eastAsia="黑体" w:cs="宋体"/>
          <w:bCs/>
          <w:color w:val="auto"/>
          <w:kern w:val="0"/>
          <w:sz w:val="32"/>
          <w:szCs w:val="32"/>
          <w:highlight w:val="none"/>
          <w:lang w:eastAsia="zh-CN"/>
        </w:rPr>
      </w:pPr>
      <w:r>
        <w:drawing>
          <wp:anchor distT="0" distB="0" distL="114300" distR="114300" simplePos="0" relativeHeight="251668480" behindDoc="1" locked="0" layoutInCell="1" allowOverlap="1">
            <wp:simplePos x="0" y="0"/>
            <wp:positionH relativeFrom="column">
              <wp:posOffset>38100</wp:posOffset>
            </wp:positionH>
            <wp:positionV relativeFrom="paragraph">
              <wp:posOffset>66675</wp:posOffset>
            </wp:positionV>
            <wp:extent cx="5273040" cy="4918075"/>
            <wp:effectExtent l="0" t="0" r="3810" b="15875"/>
            <wp:wrapTight wrapText="bothSides">
              <wp:wrapPolygon>
                <wp:start x="0" y="0"/>
                <wp:lineTo x="0" y="21502"/>
                <wp:lineTo x="21538" y="21502"/>
                <wp:lineTo x="21538" y="0"/>
                <wp:lineTo x="0" y="0"/>
              </wp:wrapPolygon>
            </wp:wrapTight>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
                    <a:stretch>
                      <a:fillRect/>
                    </a:stretch>
                  </pic:blipFill>
                  <pic:spPr>
                    <a:xfrm>
                      <a:off x="0" y="0"/>
                      <a:ext cx="5273040" cy="491807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5408" behindDoc="0" locked="0" layoutInCell="1" allowOverlap="1">
            <wp:simplePos x="0" y="0"/>
            <wp:positionH relativeFrom="column">
              <wp:posOffset>-133350</wp:posOffset>
            </wp:positionH>
            <wp:positionV relativeFrom="paragraph">
              <wp:posOffset>70485</wp:posOffset>
            </wp:positionV>
            <wp:extent cx="5746750" cy="2304415"/>
            <wp:effectExtent l="0" t="0" r="6350" b="635"/>
            <wp:wrapSquare wrapText="bothSides"/>
            <wp:docPr id="8" name="图片 8"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7"/>
                    <pic:cNvPicPr>
                      <a:picLocks noChangeAspect="1"/>
                    </pic:cNvPicPr>
                  </pic:nvPicPr>
                  <pic:blipFill>
                    <a:blip r:embed="rId12"/>
                    <a:stretch>
                      <a:fillRect/>
                    </a:stretch>
                  </pic:blipFill>
                  <pic:spPr>
                    <a:xfrm>
                      <a:off x="0" y="0"/>
                      <a:ext cx="5746750" cy="230441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6432" behindDoc="0" locked="0" layoutInCell="1" allowOverlap="1">
            <wp:simplePos x="0" y="0"/>
            <wp:positionH relativeFrom="column">
              <wp:posOffset>-212725</wp:posOffset>
            </wp:positionH>
            <wp:positionV relativeFrom="page">
              <wp:posOffset>3608705</wp:posOffset>
            </wp:positionV>
            <wp:extent cx="5765165" cy="2917825"/>
            <wp:effectExtent l="0" t="0" r="6985" b="15875"/>
            <wp:wrapSquare wrapText="bothSides"/>
            <wp:docPr id="9" name="图片 9" desc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8"/>
                    <pic:cNvPicPr>
                      <a:picLocks noChangeAspect="1"/>
                    </pic:cNvPicPr>
                  </pic:nvPicPr>
                  <pic:blipFill>
                    <a:blip r:embed="rId13"/>
                    <a:stretch>
                      <a:fillRect/>
                    </a:stretch>
                  </pic:blipFill>
                  <pic:spPr>
                    <a:xfrm>
                      <a:off x="0" y="0"/>
                      <a:ext cx="5765165" cy="2917825"/>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anchor distT="0" distB="0" distL="114300" distR="114300" simplePos="0" relativeHeight="251667456" behindDoc="0" locked="0" layoutInCell="1" allowOverlap="1">
            <wp:simplePos x="0" y="0"/>
            <wp:positionH relativeFrom="column">
              <wp:posOffset>-212725</wp:posOffset>
            </wp:positionH>
            <wp:positionV relativeFrom="page">
              <wp:posOffset>3197225</wp:posOffset>
            </wp:positionV>
            <wp:extent cx="5886450" cy="3206750"/>
            <wp:effectExtent l="0" t="0" r="0" b="12700"/>
            <wp:wrapSquare wrapText="bothSides"/>
            <wp:docPr id="10" name="图片 10" descr="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9"/>
                    <pic:cNvPicPr>
                      <a:picLocks noChangeAspect="1"/>
                    </pic:cNvPicPr>
                  </pic:nvPicPr>
                  <pic:blipFill>
                    <a:blip r:embed="rId14"/>
                    <a:stretch>
                      <a:fillRect/>
                    </a:stretch>
                  </pic:blipFill>
                  <pic:spPr>
                    <a:xfrm>
                      <a:off x="0" y="0"/>
                      <a:ext cx="5886450" cy="320675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sectPr>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K7YF5DdAQAAwAMAAA4AAAAAAAAA&#10;AQAgAAAAHgEAAGRycy9lMm9Eb2MueG1sUEsFBgAAAAAGAAYAWQEAAG0FA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G15XmjdAQAAvgMAAA4AAAAAAAAA&#10;AQAgAAAAHgEAAGRycy9lMm9Eb2MueG1sUEsFBgAAAAAGAAYAWQEAAG0FA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AyOGZmZWJiZjkzMTc5MjUxM2FlYjUzNmFjOTJhZmYifQ=="/>
    <w:docVar w:name="KSO_WPS_MARK_KEY" w:val="41ee2a61-2d54-4f93-83be-afdb9a40d732"/>
  </w:docVars>
  <w:rsids>
    <w:rsidRoot w:val="00000000"/>
    <w:rsid w:val="00213C59"/>
    <w:rsid w:val="003210CE"/>
    <w:rsid w:val="00B70D59"/>
    <w:rsid w:val="00F52A8D"/>
    <w:rsid w:val="016529C1"/>
    <w:rsid w:val="019404F8"/>
    <w:rsid w:val="029B319A"/>
    <w:rsid w:val="02BD3108"/>
    <w:rsid w:val="02F73D26"/>
    <w:rsid w:val="034D4FEF"/>
    <w:rsid w:val="035D1785"/>
    <w:rsid w:val="039F47CE"/>
    <w:rsid w:val="03E05CE8"/>
    <w:rsid w:val="03F973EE"/>
    <w:rsid w:val="043E5B56"/>
    <w:rsid w:val="048D2837"/>
    <w:rsid w:val="04C04386"/>
    <w:rsid w:val="04D82E70"/>
    <w:rsid w:val="04FA68C4"/>
    <w:rsid w:val="053F5AE6"/>
    <w:rsid w:val="057C0B0F"/>
    <w:rsid w:val="058402BD"/>
    <w:rsid w:val="05EF4B48"/>
    <w:rsid w:val="05F76ECA"/>
    <w:rsid w:val="06792773"/>
    <w:rsid w:val="06A74EB5"/>
    <w:rsid w:val="06BE35D4"/>
    <w:rsid w:val="07093795"/>
    <w:rsid w:val="07804730"/>
    <w:rsid w:val="079052BE"/>
    <w:rsid w:val="08145C21"/>
    <w:rsid w:val="08422688"/>
    <w:rsid w:val="085854ED"/>
    <w:rsid w:val="0879188F"/>
    <w:rsid w:val="08A0354D"/>
    <w:rsid w:val="08CD4C49"/>
    <w:rsid w:val="08CF486A"/>
    <w:rsid w:val="09066BA5"/>
    <w:rsid w:val="09114954"/>
    <w:rsid w:val="095A5B83"/>
    <w:rsid w:val="096466E3"/>
    <w:rsid w:val="0968304D"/>
    <w:rsid w:val="0989680B"/>
    <w:rsid w:val="09AF3D17"/>
    <w:rsid w:val="0A7809B7"/>
    <w:rsid w:val="0A7B4867"/>
    <w:rsid w:val="0A840954"/>
    <w:rsid w:val="0A9928ED"/>
    <w:rsid w:val="0AD01550"/>
    <w:rsid w:val="0B61769D"/>
    <w:rsid w:val="0B8C3ECC"/>
    <w:rsid w:val="0B9C639D"/>
    <w:rsid w:val="0BB052B2"/>
    <w:rsid w:val="0BD33FFC"/>
    <w:rsid w:val="0BE97AC1"/>
    <w:rsid w:val="0C1C4780"/>
    <w:rsid w:val="0C3613A3"/>
    <w:rsid w:val="0C5E519C"/>
    <w:rsid w:val="0C7227A7"/>
    <w:rsid w:val="0C865DCB"/>
    <w:rsid w:val="0CA52EE8"/>
    <w:rsid w:val="0CBD6988"/>
    <w:rsid w:val="0CD208AC"/>
    <w:rsid w:val="0D4903E8"/>
    <w:rsid w:val="0D7A4A46"/>
    <w:rsid w:val="0DD35D6D"/>
    <w:rsid w:val="0E640559"/>
    <w:rsid w:val="0F0876A3"/>
    <w:rsid w:val="0F1113DA"/>
    <w:rsid w:val="0F78534A"/>
    <w:rsid w:val="0F89358A"/>
    <w:rsid w:val="0F8C6D51"/>
    <w:rsid w:val="0FAA5F8B"/>
    <w:rsid w:val="0FB6068A"/>
    <w:rsid w:val="0FC079B2"/>
    <w:rsid w:val="0FC1314E"/>
    <w:rsid w:val="0FD40323"/>
    <w:rsid w:val="0FE7764A"/>
    <w:rsid w:val="102B574C"/>
    <w:rsid w:val="105B0B5E"/>
    <w:rsid w:val="10DB61CB"/>
    <w:rsid w:val="112E58D0"/>
    <w:rsid w:val="11731CAC"/>
    <w:rsid w:val="119500A0"/>
    <w:rsid w:val="11B138E7"/>
    <w:rsid w:val="11C0733B"/>
    <w:rsid w:val="11D50D17"/>
    <w:rsid w:val="120E0809"/>
    <w:rsid w:val="12547002"/>
    <w:rsid w:val="127F665A"/>
    <w:rsid w:val="128B1AA3"/>
    <w:rsid w:val="12F7068C"/>
    <w:rsid w:val="13D465BF"/>
    <w:rsid w:val="141E1433"/>
    <w:rsid w:val="142037CB"/>
    <w:rsid w:val="14207DC0"/>
    <w:rsid w:val="14544CEC"/>
    <w:rsid w:val="14B932DA"/>
    <w:rsid w:val="150A66AF"/>
    <w:rsid w:val="1522637B"/>
    <w:rsid w:val="154C1139"/>
    <w:rsid w:val="158C5B77"/>
    <w:rsid w:val="160D1149"/>
    <w:rsid w:val="163563C0"/>
    <w:rsid w:val="164315EF"/>
    <w:rsid w:val="16557DFE"/>
    <w:rsid w:val="167268FB"/>
    <w:rsid w:val="16770D0A"/>
    <w:rsid w:val="16851347"/>
    <w:rsid w:val="16D50C50"/>
    <w:rsid w:val="16E120E1"/>
    <w:rsid w:val="16F703E7"/>
    <w:rsid w:val="17385A05"/>
    <w:rsid w:val="173B3901"/>
    <w:rsid w:val="17410D23"/>
    <w:rsid w:val="176747F9"/>
    <w:rsid w:val="17795DBB"/>
    <w:rsid w:val="17954A6E"/>
    <w:rsid w:val="180059E9"/>
    <w:rsid w:val="180272B9"/>
    <w:rsid w:val="184510FD"/>
    <w:rsid w:val="185D54D8"/>
    <w:rsid w:val="190648B0"/>
    <w:rsid w:val="19071D6C"/>
    <w:rsid w:val="199C7274"/>
    <w:rsid w:val="19D26CD4"/>
    <w:rsid w:val="19E60D19"/>
    <w:rsid w:val="1A1A3C82"/>
    <w:rsid w:val="1A3E3450"/>
    <w:rsid w:val="1AD807E5"/>
    <w:rsid w:val="1B39345B"/>
    <w:rsid w:val="1BFB2A1F"/>
    <w:rsid w:val="1C015D4A"/>
    <w:rsid w:val="1C290ED5"/>
    <w:rsid w:val="1C317E4F"/>
    <w:rsid w:val="1C472464"/>
    <w:rsid w:val="1C4F7658"/>
    <w:rsid w:val="1D22799A"/>
    <w:rsid w:val="1D5C1A72"/>
    <w:rsid w:val="1DAF458D"/>
    <w:rsid w:val="1E086ACE"/>
    <w:rsid w:val="1E5A132A"/>
    <w:rsid w:val="1E62130A"/>
    <w:rsid w:val="1E97358B"/>
    <w:rsid w:val="1EAA4A5F"/>
    <w:rsid w:val="1EE869A7"/>
    <w:rsid w:val="1F1E2164"/>
    <w:rsid w:val="1FA15E62"/>
    <w:rsid w:val="1FED69B6"/>
    <w:rsid w:val="2064678E"/>
    <w:rsid w:val="20DC1AB9"/>
    <w:rsid w:val="20DD6197"/>
    <w:rsid w:val="212631E0"/>
    <w:rsid w:val="21A53757"/>
    <w:rsid w:val="221236C6"/>
    <w:rsid w:val="22B6374C"/>
    <w:rsid w:val="22D7662C"/>
    <w:rsid w:val="23326B7F"/>
    <w:rsid w:val="237C3850"/>
    <w:rsid w:val="2380045B"/>
    <w:rsid w:val="23BC04D2"/>
    <w:rsid w:val="23E8513F"/>
    <w:rsid w:val="23EF1892"/>
    <w:rsid w:val="2483647E"/>
    <w:rsid w:val="24A32D55"/>
    <w:rsid w:val="25292727"/>
    <w:rsid w:val="252E5CA9"/>
    <w:rsid w:val="256F7692"/>
    <w:rsid w:val="25AA3C82"/>
    <w:rsid w:val="25BA2154"/>
    <w:rsid w:val="25C8773F"/>
    <w:rsid w:val="264A7253"/>
    <w:rsid w:val="26F0170C"/>
    <w:rsid w:val="27201D62"/>
    <w:rsid w:val="27286E73"/>
    <w:rsid w:val="276146D2"/>
    <w:rsid w:val="27CF2642"/>
    <w:rsid w:val="27E777F5"/>
    <w:rsid w:val="27EA1D4C"/>
    <w:rsid w:val="27EA2E41"/>
    <w:rsid w:val="282459E2"/>
    <w:rsid w:val="283A7FE5"/>
    <w:rsid w:val="285F51FF"/>
    <w:rsid w:val="28A16D53"/>
    <w:rsid w:val="28DF2665"/>
    <w:rsid w:val="29072599"/>
    <w:rsid w:val="291029F3"/>
    <w:rsid w:val="29CB58F0"/>
    <w:rsid w:val="2A053397"/>
    <w:rsid w:val="2A145E96"/>
    <w:rsid w:val="2A2131BB"/>
    <w:rsid w:val="2AA43C32"/>
    <w:rsid w:val="2AF5378F"/>
    <w:rsid w:val="2B39028B"/>
    <w:rsid w:val="2BB94DBF"/>
    <w:rsid w:val="2C6F314E"/>
    <w:rsid w:val="2CC206BE"/>
    <w:rsid w:val="2D1136DF"/>
    <w:rsid w:val="2D20606D"/>
    <w:rsid w:val="2DB87198"/>
    <w:rsid w:val="2DB93C54"/>
    <w:rsid w:val="2DD513C6"/>
    <w:rsid w:val="2E3D144C"/>
    <w:rsid w:val="2E891204"/>
    <w:rsid w:val="2F3F0A28"/>
    <w:rsid w:val="2F8B463A"/>
    <w:rsid w:val="2FB1362F"/>
    <w:rsid w:val="2FBF7029"/>
    <w:rsid w:val="2FD0187F"/>
    <w:rsid w:val="2FD27414"/>
    <w:rsid w:val="2FFE4BB0"/>
    <w:rsid w:val="300E7B60"/>
    <w:rsid w:val="300F6E18"/>
    <w:rsid w:val="30862F5F"/>
    <w:rsid w:val="309858E6"/>
    <w:rsid w:val="30C33518"/>
    <w:rsid w:val="314029C9"/>
    <w:rsid w:val="319843C2"/>
    <w:rsid w:val="319C7D3F"/>
    <w:rsid w:val="31C63837"/>
    <w:rsid w:val="31C82E39"/>
    <w:rsid w:val="32601BAD"/>
    <w:rsid w:val="329F6389"/>
    <w:rsid w:val="32C3510C"/>
    <w:rsid w:val="3389023A"/>
    <w:rsid w:val="33CB74FA"/>
    <w:rsid w:val="343642F2"/>
    <w:rsid w:val="343F3010"/>
    <w:rsid w:val="345D0A00"/>
    <w:rsid w:val="34713BFD"/>
    <w:rsid w:val="34885EA4"/>
    <w:rsid w:val="34C13589"/>
    <w:rsid w:val="353369E3"/>
    <w:rsid w:val="35A83A01"/>
    <w:rsid w:val="35E00D72"/>
    <w:rsid w:val="36902F3C"/>
    <w:rsid w:val="36965B9D"/>
    <w:rsid w:val="36C549FD"/>
    <w:rsid w:val="36DE29E0"/>
    <w:rsid w:val="37A755DD"/>
    <w:rsid w:val="37F94FA0"/>
    <w:rsid w:val="380D3381"/>
    <w:rsid w:val="38115B1F"/>
    <w:rsid w:val="385E3AC3"/>
    <w:rsid w:val="387D6B9E"/>
    <w:rsid w:val="38B75FF0"/>
    <w:rsid w:val="38D45016"/>
    <w:rsid w:val="38D90432"/>
    <w:rsid w:val="3914510A"/>
    <w:rsid w:val="3926770B"/>
    <w:rsid w:val="394922B7"/>
    <w:rsid w:val="398D3668"/>
    <w:rsid w:val="39DA0497"/>
    <w:rsid w:val="3A517E8F"/>
    <w:rsid w:val="3A893816"/>
    <w:rsid w:val="3A893B6D"/>
    <w:rsid w:val="3AD1763A"/>
    <w:rsid w:val="3B165D43"/>
    <w:rsid w:val="3B6716E3"/>
    <w:rsid w:val="3B6C6B2D"/>
    <w:rsid w:val="3C242659"/>
    <w:rsid w:val="3C96719C"/>
    <w:rsid w:val="3CA72BE8"/>
    <w:rsid w:val="3CF37F8C"/>
    <w:rsid w:val="3D137554"/>
    <w:rsid w:val="3D5275AC"/>
    <w:rsid w:val="3DCC2473"/>
    <w:rsid w:val="3DEB0883"/>
    <w:rsid w:val="3E2527BF"/>
    <w:rsid w:val="3E731662"/>
    <w:rsid w:val="3E8168DD"/>
    <w:rsid w:val="3E9516E4"/>
    <w:rsid w:val="3EA7725F"/>
    <w:rsid w:val="3EB03713"/>
    <w:rsid w:val="3EBF1A11"/>
    <w:rsid w:val="3EC52607"/>
    <w:rsid w:val="3EEC6CEF"/>
    <w:rsid w:val="3F183429"/>
    <w:rsid w:val="3F777674"/>
    <w:rsid w:val="3FB77A1D"/>
    <w:rsid w:val="3FDC3674"/>
    <w:rsid w:val="3FED7F8A"/>
    <w:rsid w:val="40094AEF"/>
    <w:rsid w:val="404F56EE"/>
    <w:rsid w:val="405470BD"/>
    <w:rsid w:val="40794A29"/>
    <w:rsid w:val="40834692"/>
    <w:rsid w:val="41431AD5"/>
    <w:rsid w:val="414B3C0F"/>
    <w:rsid w:val="417C1CE7"/>
    <w:rsid w:val="41900018"/>
    <w:rsid w:val="41944406"/>
    <w:rsid w:val="41CE128F"/>
    <w:rsid w:val="41DA6F12"/>
    <w:rsid w:val="42171FB1"/>
    <w:rsid w:val="434E6957"/>
    <w:rsid w:val="43BA0E31"/>
    <w:rsid w:val="43C15147"/>
    <w:rsid w:val="43E14DD2"/>
    <w:rsid w:val="43F800E9"/>
    <w:rsid w:val="443A7E4B"/>
    <w:rsid w:val="452F5B3A"/>
    <w:rsid w:val="454E7FD2"/>
    <w:rsid w:val="46061BDC"/>
    <w:rsid w:val="461404F8"/>
    <w:rsid w:val="46413018"/>
    <w:rsid w:val="464B7E04"/>
    <w:rsid w:val="468041AA"/>
    <w:rsid w:val="468123C6"/>
    <w:rsid w:val="46901EEE"/>
    <w:rsid w:val="469C74D2"/>
    <w:rsid w:val="46F27AD7"/>
    <w:rsid w:val="47445515"/>
    <w:rsid w:val="474B4782"/>
    <w:rsid w:val="47D90D14"/>
    <w:rsid w:val="48387FB0"/>
    <w:rsid w:val="483A6114"/>
    <w:rsid w:val="488727DB"/>
    <w:rsid w:val="48B82268"/>
    <w:rsid w:val="48C354B3"/>
    <w:rsid w:val="49081F0B"/>
    <w:rsid w:val="491D70B9"/>
    <w:rsid w:val="493D58B5"/>
    <w:rsid w:val="494A7A04"/>
    <w:rsid w:val="496C17A1"/>
    <w:rsid w:val="4A0A26D2"/>
    <w:rsid w:val="4A2019A5"/>
    <w:rsid w:val="4A241A0B"/>
    <w:rsid w:val="4A7B2875"/>
    <w:rsid w:val="4A934476"/>
    <w:rsid w:val="4AA843FC"/>
    <w:rsid w:val="4AAA220A"/>
    <w:rsid w:val="4AE12E67"/>
    <w:rsid w:val="4B2403E5"/>
    <w:rsid w:val="4B2F1334"/>
    <w:rsid w:val="4B4C0111"/>
    <w:rsid w:val="4B8553A9"/>
    <w:rsid w:val="4BBE0344"/>
    <w:rsid w:val="4BDB3730"/>
    <w:rsid w:val="4C200F7A"/>
    <w:rsid w:val="4CEE3180"/>
    <w:rsid w:val="4D0F4AF6"/>
    <w:rsid w:val="4D334774"/>
    <w:rsid w:val="4D695DE9"/>
    <w:rsid w:val="4DC2635A"/>
    <w:rsid w:val="4DF94F37"/>
    <w:rsid w:val="4E0A1DD5"/>
    <w:rsid w:val="4E3160E5"/>
    <w:rsid w:val="4E4D37AF"/>
    <w:rsid w:val="4E8C6496"/>
    <w:rsid w:val="4EFD18DE"/>
    <w:rsid w:val="4F144236"/>
    <w:rsid w:val="4F663C87"/>
    <w:rsid w:val="4F7E29A8"/>
    <w:rsid w:val="4F9E1FFC"/>
    <w:rsid w:val="500C03DB"/>
    <w:rsid w:val="50447CC2"/>
    <w:rsid w:val="506D6382"/>
    <w:rsid w:val="50874A7C"/>
    <w:rsid w:val="50895EE7"/>
    <w:rsid w:val="50921B9D"/>
    <w:rsid w:val="50D16158"/>
    <w:rsid w:val="50DB5F45"/>
    <w:rsid w:val="51025EB1"/>
    <w:rsid w:val="51141503"/>
    <w:rsid w:val="518D0ED5"/>
    <w:rsid w:val="52101300"/>
    <w:rsid w:val="525C687F"/>
    <w:rsid w:val="52EA19A8"/>
    <w:rsid w:val="52F647F7"/>
    <w:rsid w:val="52F92565"/>
    <w:rsid w:val="53B42F66"/>
    <w:rsid w:val="53C51F91"/>
    <w:rsid w:val="53D03877"/>
    <w:rsid w:val="542F73CA"/>
    <w:rsid w:val="5430786D"/>
    <w:rsid w:val="54C811C0"/>
    <w:rsid w:val="556A442D"/>
    <w:rsid w:val="55DA564E"/>
    <w:rsid w:val="5604127D"/>
    <w:rsid w:val="56166703"/>
    <w:rsid w:val="562C4FDF"/>
    <w:rsid w:val="56510474"/>
    <w:rsid w:val="56861525"/>
    <w:rsid w:val="56A93273"/>
    <w:rsid w:val="56BD550C"/>
    <w:rsid w:val="56E07045"/>
    <w:rsid w:val="56FF28AF"/>
    <w:rsid w:val="57540E7D"/>
    <w:rsid w:val="577B4878"/>
    <w:rsid w:val="57926973"/>
    <w:rsid w:val="58175352"/>
    <w:rsid w:val="581F2200"/>
    <w:rsid w:val="583059FA"/>
    <w:rsid w:val="584A0929"/>
    <w:rsid w:val="58C967EA"/>
    <w:rsid w:val="58CD2491"/>
    <w:rsid w:val="591B41B2"/>
    <w:rsid w:val="59254A26"/>
    <w:rsid w:val="59326325"/>
    <w:rsid w:val="595C505B"/>
    <w:rsid w:val="595E55C3"/>
    <w:rsid w:val="596E7E20"/>
    <w:rsid w:val="59F61AE6"/>
    <w:rsid w:val="5A60780B"/>
    <w:rsid w:val="5AB34579"/>
    <w:rsid w:val="5ABC2005"/>
    <w:rsid w:val="5AFC6609"/>
    <w:rsid w:val="5B113480"/>
    <w:rsid w:val="5B325979"/>
    <w:rsid w:val="5BD456CE"/>
    <w:rsid w:val="5C0D1F49"/>
    <w:rsid w:val="5CBB0CE2"/>
    <w:rsid w:val="5CBB5F76"/>
    <w:rsid w:val="5CC17177"/>
    <w:rsid w:val="5CF306BC"/>
    <w:rsid w:val="5D3F3D64"/>
    <w:rsid w:val="5D833043"/>
    <w:rsid w:val="5DD92690"/>
    <w:rsid w:val="5DDB1CFD"/>
    <w:rsid w:val="5E7E6D93"/>
    <w:rsid w:val="5ED44800"/>
    <w:rsid w:val="5F294511"/>
    <w:rsid w:val="5F350BDE"/>
    <w:rsid w:val="5F61632C"/>
    <w:rsid w:val="5FA17648"/>
    <w:rsid w:val="5FE705CB"/>
    <w:rsid w:val="603D5080"/>
    <w:rsid w:val="60927D6A"/>
    <w:rsid w:val="60A9701F"/>
    <w:rsid w:val="60CB18CC"/>
    <w:rsid w:val="60D0261B"/>
    <w:rsid w:val="618E3791"/>
    <w:rsid w:val="61947DCA"/>
    <w:rsid w:val="61A46A97"/>
    <w:rsid w:val="61D1382F"/>
    <w:rsid w:val="61F114A2"/>
    <w:rsid w:val="62512BB4"/>
    <w:rsid w:val="625D7D1A"/>
    <w:rsid w:val="62DD7D21"/>
    <w:rsid w:val="63446080"/>
    <w:rsid w:val="637D586B"/>
    <w:rsid w:val="63A5560B"/>
    <w:rsid w:val="63E9091F"/>
    <w:rsid w:val="64322AF9"/>
    <w:rsid w:val="64D6010D"/>
    <w:rsid w:val="64D82665"/>
    <w:rsid w:val="64E47C96"/>
    <w:rsid w:val="6513006E"/>
    <w:rsid w:val="651E5741"/>
    <w:rsid w:val="658A4877"/>
    <w:rsid w:val="658E4D17"/>
    <w:rsid w:val="65A00902"/>
    <w:rsid w:val="65AC6EDD"/>
    <w:rsid w:val="65D97752"/>
    <w:rsid w:val="66085536"/>
    <w:rsid w:val="66105BF7"/>
    <w:rsid w:val="66150023"/>
    <w:rsid w:val="6628010D"/>
    <w:rsid w:val="66911DA8"/>
    <w:rsid w:val="669B4528"/>
    <w:rsid w:val="66AD5332"/>
    <w:rsid w:val="66CC12D7"/>
    <w:rsid w:val="67134CEF"/>
    <w:rsid w:val="671F1ABD"/>
    <w:rsid w:val="67521A59"/>
    <w:rsid w:val="67C304AB"/>
    <w:rsid w:val="683F0658"/>
    <w:rsid w:val="686F6ADA"/>
    <w:rsid w:val="689C6793"/>
    <w:rsid w:val="68DB0208"/>
    <w:rsid w:val="68FB170C"/>
    <w:rsid w:val="691B3D98"/>
    <w:rsid w:val="693748F0"/>
    <w:rsid w:val="69846A0E"/>
    <w:rsid w:val="69AD798C"/>
    <w:rsid w:val="69D005C0"/>
    <w:rsid w:val="69D80B96"/>
    <w:rsid w:val="6A320B9F"/>
    <w:rsid w:val="6A402D1B"/>
    <w:rsid w:val="6B68175F"/>
    <w:rsid w:val="6BFD799F"/>
    <w:rsid w:val="6C417411"/>
    <w:rsid w:val="6C4A2E5A"/>
    <w:rsid w:val="6C8138D0"/>
    <w:rsid w:val="6CEF0725"/>
    <w:rsid w:val="6D4B2604"/>
    <w:rsid w:val="6D6D3A01"/>
    <w:rsid w:val="6D8030E4"/>
    <w:rsid w:val="6E0E35C4"/>
    <w:rsid w:val="6E0F7A08"/>
    <w:rsid w:val="6E3947F5"/>
    <w:rsid w:val="6E9C74ED"/>
    <w:rsid w:val="6EF72976"/>
    <w:rsid w:val="6F406C79"/>
    <w:rsid w:val="6F594E56"/>
    <w:rsid w:val="6F795A80"/>
    <w:rsid w:val="6F7C1D2E"/>
    <w:rsid w:val="6F8E0407"/>
    <w:rsid w:val="6FDD069F"/>
    <w:rsid w:val="702B4D16"/>
    <w:rsid w:val="702E04B0"/>
    <w:rsid w:val="70AA6621"/>
    <w:rsid w:val="70E821B8"/>
    <w:rsid w:val="7111480F"/>
    <w:rsid w:val="71261F49"/>
    <w:rsid w:val="712E6956"/>
    <w:rsid w:val="71473612"/>
    <w:rsid w:val="71504F32"/>
    <w:rsid w:val="7152309F"/>
    <w:rsid w:val="718F7F65"/>
    <w:rsid w:val="71B37B52"/>
    <w:rsid w:val="71BA31AC"/>
    <w:rsid w:val="72150CC6"/>
    <w:rsid w:val="72440941"/>
    <w:rsid w:val="727B234E"/>
    <w:rsid w:val="72D068C7"/>
    <w:rsid w:val="72E42ED8"/>
    <w:rsid w:val="73210DE7"/>
    <w:rsid w:val="735F4CB9"/>
    <w:rsid w:val="73674C62"/>
    <w:rsid w:val="73845865"/>
    <w:rsid w:val="739B6D9E"/>
    <w:rsid w:val="73BC1D76"/>
    <w:rsid w:val="73FB6630"/>
    <w:rsid w:val="748D790E"/>
    <w:rsid w:val="749820CC"/>
    <w:rsid w:val="74C67EFF"/>
    <w:rsid w:val="74CE04EC"/>
    <w:rsid w:val="74E76DCD"/>
    <w:rsid w:val="751D7C0A"/>
    <w:rsid w:val="75297721"/>
    <w:rsid w:val="75722D56"/>
    <w:rsid w:val="75912530"/>
    <w:rsid w:val="75DB5477"/>
    <w:rsid w:val="75FC6AC3"/>
    <w:rsid w:val="7616619B"/>
    <w:rsid w:val="76660D7C"/>
    <w:rsid w:val="766C5968"/>
    <w:rsid w:val="76BE0C8F"/>
    <w:rsid w:val="76CD53B2"/>
    <w:rsid w:val="770719AC"/>
    <w:rsid w:val="776526CC"/>
    <w:rsid w:val="777C5C0F"/>
    <w:rsid w:val="77A262E1"/>
    <w:rsid w:val="77B13C33"/>
    <w:rsid w:val="77ED6F44"/>
    <w:rsid w:val="77F45548"/>
    <w:rsid w:val="78171616"/>
    <w:rsid w:val="784E7CA6"/>
    <w:rsid w:val="78574801"/>
    <w:rsid w:val="7873527F"/>
    <w:rsid w:val="78861DE9"/>
    <w:rsid w:val="78F01A53"/>
    <w:rsid w:val="790A6425"/>
    <w:rsid w:val="790E2D96"/>
    <w:rsid w:val="791B54B2"/>
    <w:rsid w:val="795A0A34"/>
    <w:rsid w:val="797339C3"/>
    <w:rsid w:val="79D51AB2"/>
    <w:rsid w:val="79D57D57"/>
    <w:rsid w:val="79F00650"/>
    <w:rsid w:val="7A245D7D"/>
    <w:rsid w:val="7A6242BF"/>
    <w:rsid w:val="7A7156BE"/>
    <w:rsid w:val="7A794513"/>
    <w:rsid w:val="7AE952D2"/>
    <w:rsid w:val="7C4E27F7"/>
    <w:rsid w:val="7C7248A0"/>
    <w:rsid w:val="7C976D69"/>
    <w:rsid w:val="7CD752DA"/>
    <w:rsid w:val="7CDE40AB"/>
    <w:rsid w:val="7CF057E2"/>
    <w:rsid w:val="7D1548B5"/>
    <w:rsid w:val="7D334AEC"/>
    <w:rsid w:val="7DEC7067"/>
    <w:rsid w:val="7DF84014"/>
    <w:rsid w:val="7E207949"/>
    <w:rsid w:val="7E5C0A47"/>
    <w:rsid w:val="7E670C75"/>
    <w:rsid w:val="7EE24272"/>
    <w:rsid w:val="7EEA6053"/>
    <w:rsid w:val="7F487C04"/>
    <w:rsid w:val="7FB45F21"/>
    <w:rsid w:val="7FE57088"/>
    <w:rsid w:val="7FF37FA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11">
    <w:name w:val="Strong"/>
    <w:basedOn w:val="10"/>
    <w:qFormat/>
    <w:uiPriority w:val="0"/>
    <w:rPr>
      <w:b/>
    </w:rPr>
  </w:style>
  <w:style w:type="paragraph" w:customStyle="1" w:styleId="12">
    <w:name w:val="WPSOffice手动目录 3"/>
    <w:qFormat/>
    <w:uiPriority w:val="0"/>
    <w:pPr>
      <w:ind w:leftChars="400"/>
    </w:pPr>
    <w:rPr>
      <w:rFonts w:ascii="Times New Roman" w:hAnsi="Times New Roman" w:eastAsia="宋体" w:cs="Times New Roman"/>
      <w:sz w:val="20"/>
      <w:szCs w:val="20"/>
    </w:rPr>
  </w:style>
  <w:style w:type="paragraph" w:customStyle="1" w:styleId="13">
    <w:name w:val="WPSOffice手动目录 2"/>
    <w:qFormat/>
    <w:uiPriority w:val="0"/>
    <w:pPr>
      <w:ind w:leftChars="200"/>
    </w:pPr>
    <w:rPr>
      <w:rFonts w:ascii="Times New Roman" w:hAnsi="Times New Roman" w:eastAsia="宋体" w:cs="Times New Roman"/>
      <w:sz w:val="20"/>
      <w:szCs w:val="20"/>
    </w:rPr>
  </w:style>
  <w:style w:type="paragraph" w:customStyle="1" w:styleId="14">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6480</Words>
  <Characters>20825</Characters>
  <Lines>0</Lines>
  <Paragraphs>0</Paragraphs>
  <TotalTime>23</TotalTime>
  <ScaleCrop>false</ScaleCrop>
  <LinksUpToDate>false</LinksUpToDate>
  <CharactersWithSpaces>20937</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GXR</dc:creator>
  <cp:lastModifiedBy>Administrator</cp:lastModifiedBy>
  <dcterms:modified xsi:type="dcterms:W3CDTF">2024-12-02T03:04:41Z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ICV">
    <vt:lpwstr>D624B15633CD43C8BF9435464A96BF70</vt:lpwstr>
  </property>
</Properties>
</file>