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eastAsia="zh-CN"/>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库尔勒市希望街道办事处</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jc w:val="center"/>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新疆巴州库尔勒市希望街道办事处是库尔勒市人民政府的派出机关，在街道党工委的领导下，依据法律、法规和规章的规定，行使行政管理职责，负责本辖区各项行政管理工作。主要职责是:</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战线工作的领导;指导工会、共青团、妇联等群团工作。坚持党管武装的基本原则和制度,协调各方力量,对行政区人民武装工作实行统一管理。</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统筹区域发展。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（3）组织公共服务。加强公共设施建设，开展就业和社会保障等服务。</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实施公共管理。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维护公共安全。承担辖区内社会治安综合治理、信访、平安建设、应急管理、安全生产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（6）监督执法管理。协助有关部门加强对行政区内的文化娱乐等场所的管理及监督工作，对辖区内各类行政执法工作进行统筹协调，依法依规行使行政处罚权，组织开展群众监督和社会监督。</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（7）动员社会参与。动员辖区内各类单位、社会组织、社区居民等社会力量参与社会治理,为城市发展服务。</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（8）指导居民委员会建设,健全居民自治平台,组织驻街道单位和居民参与社区建设、管理。</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（9）按照管理权限,负责机关和事业单位工作人员的教育、培养、选拔、考核和监督工作；协助管理好派驻单位工作人员。</w:t>
      </w:r>
    </w:p>
    <w:p>
      <w:pPr>
        <w:pStyle w:val="11"/>
        <w:spacing w:line="560" w:lineRule="exact"/>
        <w:ind w:firstLine="56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（10）依法依规承担下放的经济社会管理权限和行政执法事项。</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（11）完成市委、市人民政府交办的其他事项。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库尔勒市希望街道办事处编制数</w:t>
      </w:r>
      <w:r>
        <w:rPr>
          <w:rFonts w:hint="eastAsia" w:ascii="仿宋" w:hAnsi="仿宋" w:eastAsia="仿宋" w:cs="仿宋"/>
          <w:color w:val="auto"/>
          <w:kern w:val="2"/>
          <w:sz w:val="32"/>
          <w:szCs w:val="32"/>
          <w:highlight w:val="none"/>
          <w:lang w:val="en-US" w:eastAsia="zh-CN" w:bidi="ar-SA"/>
        </w:rPr>
        <w:t>41</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auto"/>
          <w:kern w:val="2"/>
          <w:sz w:val="32"/>
          <w:szCs w:val="32"/>
          <w:highlight w:val="none"/>
          <w:lang w:val="en-US" w:eastAsia="zh-CN" w:bidi="ar-SA"/>
        </w:rPr>
        <w:t>42</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auto"/>
          <w:kern w:val="2"/>
          <w:sz w:val="32"/>
          <w:szCs w:val="32"/>
          <w:highlight w:val="none"/>
          <w:lang w:val="en-US" w:eastAsia="zh-CN" w:bidi="ar-SA"/>
        </w:rPr>
        <w:t>39</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3</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Style w:val="12"/>
        <w:keepNext w:val="0"/>
        <w:keepLines w:val="0"/>
        <w:widowControl w:val="0"/>
        <w:shd w:val="clear" w:color="auto" w:fill="auto"/>
        <w:bidi w:val="0"/>
        <w:spacing w:before="0" w:after="0" w:line="540" w:lineRule="exact"/>
        <w:ind w:left="0" w:right="0" w:firstLine="640"/>
        <w:jc w:val="both"/>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一是强化理论武装，夯实思想根基。深入学习贯彻党的二十大精神，结合街道社区实际，深刻反思工作中的短板和漏洞，抓好每日风险隐患精准研判，提高研判质效。加强对中华民族共同体意识，思考谋划部署群众工作。提高干部技战能力和水平，从细微处着手，以钉钉子精神推动党的治疆方略落地生根，开花结果。</w:t>
      </w:r>
    </w:p>
    <w:p>
      <w:pPr>
        <w:pStyle w:val="12"/>
        <w:keepNext w:val="0"/>
        <w:keepLines w:val="0"/>
        <w:widowControl w:val="0"/>
        <w:shd w:val="clear" w:color="auto" w:fill="auto"/>
        <w:bidi w:val="0"/>
        <w:spacing w:before="0" w:after="0" w:line="580" w:lineRule="exact"/>
        <w:ind w:left="0" w:right="0" w:firstLine="640"/>
        <w:jc w:val="both"/>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二是加强作风建设，驰而不息转变干部作风。加强党工委和社区党委领导班子建设，提高街道社区领导班子统筹抓工作落实的能力，推动作风建设不断深入，社区党建服务品牌建设社区公共事业等为民办实事的开展，为民办实事件数不少于7件。</w:t>
      </w:r>
    </w:p>
    <w:p>
      <w:pPr>
        <w:pStyle w:val="12"/>
        <w:keepNext w:val="0"/>
        <w:keepLines w:val="0"/>
        <w:widowControl w:val="0"/>
        <w:shd w:val="clear" w:color="auto" w:fill="auto"/>
        <w:bidi w:val="0"/>
        <w:spacing w:before="0" w:after="0" w:line="540" w:lineRule="exact"/>
        <w:ind w:left="0" w:right="0" w:firstLine="640"/>
        <w:jc w:val="both"/>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三是学习内地经验，提升基层治理能力现代化。引入社工组织，针对性推出有亮点和特色的系列服务活动，深入推进大工（党）委及结对帮扶活动实效，节日慰问不少于50人次。形成共建共治共享的社会治理新模式，深化“党建＋企服”机制，把新就业群体（快递员、外卖送餐员、网约车司机）纳入城市基层党建格局。</w:t>
      </w:r>
    </w:p>
    <w:p>
      <w:pPr>
        <w:pStyle w:val="12"/>
        <w:keepNext w:val="0"/>
        <w:keepLines w:val="0"/>
        <w:widowControl w:val="0"/>
        <w:shd w:val="clear" w:color="auto" w:fill="auto"/>
        <w:bidi w:val="0"/>
        <w:spacing w:before="0" w:after="0" w:line="540" w:lineRule="exact"/>
        <w:ind w:left="0" w:right="0" w:firstLine="620"/>
        <w:jc w:val="both"/>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四是全力保障和改善民生，持续增进各族群众福祉。认真践行以人民为中心的发展思想，不断增强各族群众的幸福感、获得感、安全感。开展各类宣传教育，确保全年开展普惠民宣传次数不少于5次。以组建社团为抓手，大力弘扬和推进各民族文化交流交融。</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540" w:lineRule="exact"/>
        <w:ind w:left="0" w:right="0" w:firstLine="618"/>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五是强化干部队伍建设。健全干部担当作为激励保护机制，落实休假、体检、探亲、关怀等制度，激励广大干部干事创业的信心和决心。积极解决信访事件不少于5件，为群众切实解决各类问题。</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8"/>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库尔勒市希望街道办事处</w:t>
      </w:r>
      <w:r>
        <w:rPr>
          <w:rStyle w:val="8"/>
          <w:rFonts w:hint="eastAsia" w:ascii="仿宋" w:hAnsi="仿宋" w:eastAsia="仿宋" w:cs="仿宋"/>
          <w:b w:val="0"/>
          <w:bCs/>
          <w:color w:val="auto"/>
          <w:spacing w:val="-4"/>
          <w:sz w:val="32"/>
          <w:szCs w:val="32"/>
          <w:highlight w:val="none"/>
          <w:lang w:val="en-US" w:eastAsia="zh-CN"/>
        </w:rPr>
        <w:t>2023年通过本部门预算支出，确保了</w:t>
      </w:r>
      <w:r>
        <w:rPr>
          <w:rStyle w:val="8"/>
          <w:rFonts w:hint="eastAsia" w:ascii="仿宋" w:hAnsi="仿宋" w:eastAsia="仿宋" w:cs="仿宋"/>
          <w:b w:val="0"/>
          <w:bCs/>
          <w:color w:val="auto"/>
          <w:spacing w:val="-4"/>
          <w:sz w:val="32"/>
          <w:szCs w:val="32"/>
          <w:highlight w:val="none"/>
          <w:lang w:val="en-US" w:eastAsia="zh-CN"/>
        </w:rPr>
        <w:t>39</w:t>
      </w:r>
      <w:r>
        <w:rPr>
          <w:rStyle w:val="8"/>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8"/>
          <w:rFonts w:hint="eastAsia" w:ascii="仿宋" w:hAnsi="仿宋" w:eastAsia="仿宋" w:cs="仿宋"/>
          <w:b w:val="0"/>
          <w:bCs/>
          <w:color w:val="auto"/>
          <w:spacing w:val="-4"/>
          <w:sz w:val="32"/>
          <w:szCs w:val="32"/>
          <w:highlight w:val="none"/>
          <w:lang w:val="en-US" w:eastAsia="zh-CN"/>
        </w:rPr>
        <w:t>以及3名离退休人员的工资、医疗费等。</w:t>
      </w:r>
      <w:r>
        <w:rPr>
          <w:rStyle w:val="8"/>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1148.09</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0.05</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1148.04</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auto"/>
          <w:sz w:val="32"/>
          <w:szCs w:val="32"/>
          <w:highlight w:val="none"/>
          <w:lang w:val="en-US" w:eastAsia="zh-CN"/>
        </w:rPr>
        <w:t>1148.09</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-27.49</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1120.60</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2.39%</w:t>
      </w:r>
      <w:r>
        <w:rPr>
          <w:rFonts w:hint="eastAsia" w:ascii="仿宋" w:hAnsi="仿宋" w:eastAsia="仿宋" w:cs="仿宋"/>
          <w:b w:val="0"/>
          <w:bCs/>
          <w:color w:val="auto"/>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b w:val="0"/>
          <w:bCs/>
          <w:color w:val="auto"/>
          <w:sz w:val="32"/>
          <w:szCs w:val="32"/>
          <w:highlight w:val="none"/>
          <w:lang w:val="en-US" w:eastAsia="zh-CN"/>
        </w:rPr>
        <w:t>1120.60</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1071.60</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（2）项目支出49.00</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支农专项-社区党建工作经费项目5.00万元、支农专项-网格工作经费项目4.80万元，2022年中央和自治区政法纪检监察资金项目0.84万元，2023年中央政法纪检监察资金项目1.50万元，2023年度自治区基层组织建设资金项目25.00万元，2023年自治区驻村管寺管委会工作及人员经费项目0.50万元，2023年中央补助地方美术馆公共图书馆文化馆[站]免费开放补助资金项目4.00万元，2023年自治区补助地方美术馆公共图书馆文化馆[站]免费开放补助资金项目0.70万元，春节前农民工工资项目6.00万元，2023年国有企业退休人员社会化管理补助资金项目0.35万元，2022年国有企业退休人员社会化管理补助资金项目0.26万元，2021年国有企业退休人员社会化管理补助资金项目0.05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1145.77</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1071.60</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1071.60</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1033.12</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38.48</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w:t>
      </w:r>
      <w:r>
        <w:rPr>
          <w:rFonts w:hint="eastAsia" w:ascii="仿宋" w:hAnsi="仿宋" w:eastAsia="仿宋" w:cs="仿宋"/>
          <w:color w:val="auto"/>
          <w:kern w:val="2"/>
          <w:sz w:val="32"/>
          <w:szCs w:val="32"/>
          <w:highlight w:val="none"/>
          <w:lang w:val="en-US" w:eastAsia="zh-CN"/>
        </w:rPr>
        <w:t>12</w:t>
      </w:r>
      <w:r>
        <w:rPr>
          <w:rFonts w:hint="eastAsia" w:ascii="仿宋" w:hAnsi="仿宋" w:eastAsia="仿宋" w:cs="仿宋"/>
          <w:color w:val="auto"/>
          <w:kern w:val="2"/>
          <w:sz w:val="32"/>
          <w:szCs w:val="32"/>
          <w:highlight w:val="none"/>
          <w:lang w:val="en-US" w:eastAsia="zh-CN"/>
        </w:rPr>
        <w:t>个项目，全年预算数为</w:t>
      </w:r>
      <w:r>
        <w:rPr>
          <w:rFonts w:hint="eastAsia" w:ascii="仿宋" w:hAnsi="仿宋" w:eastAsia="仿宋" w:cs="仿宋"/>
          <w:color w:val="auto"/>
          <w:kern w:val="2"/>
          <w:sz w:val="32"/>
          <w:szCs w:val="32"/>
          <w:highlight w:val="none"/>
          <w:lang w:val="en-US" w:eastAsia="zh-CN"/>
        </w:rPr>
        <w:t>49.00</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color w:val="auto"/>
          <w:kern w:val="2"/>
          <w:sz w:val="32"/>
          <w:szCs w:val="32"/>
          <w:highlight w:val="none"/>
          <w:lang w:val="en-US" w:eastAsia="zh-CN"/>
        </w:rPr>
        <w:t>49.00</w:t>
      </w:r>
      <w:r>
        <w:rPr>
          <w:rFonts w:hint="eastAsia" w:ascii="仿宋" w:hAnsi="仿宋" w:eastAsia="仿宋" w:cs="仿宋"/>
          <w:color w:val="auto"/>
          <w:kern w:val="2"/>
          <w:sz w:val="32"/>
          <w:szCs w:val="32"/>
          <w:highlight w:val="none"/>
          <w:lang w:val="en-US" w:eastAsia="zh-CN"/>
        </w:rPr>
        <w:t>万元，执行率</w:t>
      </w:r>
      <w:r>
        <w:rPr>
          <w:rFonts w:hint="eastAsia" w:ascii="仿宋" w:hAnsi="仿宋" w:eastAsia="仿宋" w:cs="仿宋"/>
          <w:color w:val="auto"/>
          <w:kern w:val="2"/>
          <w:sz w:val="32"/>
          <w:szCs w:val="32"/>
          <w:highlight w:val="none"/>
          <w:lang w:val="en-US" w:eastAsia="zh-CN"/>
        </w:rPr>
        <w:t>100.00</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w:t>
      </w:r>
      <w:r>
        <w:rPr>
          <w:rFonts w:hint="eastAsia" w:ascii="仿宋" w:hAnsi="仿宋" w:eastAsia="仿宋" w:cs="仿宋"/>
          <w:color w:val="auto"/>
          <w:kern w:val="2"/>
          <w:sz w:val="32"/>
          <w:szCs w:val="32"/>
          <w:highlight w:val="none"/>
          <w:lang w:val="en-US" w:eastAsia="zh-CN"/>
        </w:rPr>
        <w:t>9个33.20</w:t>
      </w:r>
      <w:r>
        <w:rPr>
          <w:rFonts w:hint="eastAsia" w:ascii="仿宋" w:hAnsi="仿宋" w:eastAsia="仿宋" w:cs="仿宋"/>
          <w:color w:val="auto"/>
          <w:kern w:val="2"/>
          <w:sz w:val="32"/>
          <w:szCs w:val="32"/>
          <w:highlight w:val="none"/>
          <w:lang w:val="en-US" w:eastAsia="zh-CN"/>
        </w:rPr>
        <w:t>万元，本级安排项目</w:t>
      </w:r>
      <w:r>
        <w:rPr>
          <w:rFonts w:hint="eastAsia" w:ascii="仿宋" w:hAnsi="仿宋" w:eastAsia="仿宋" w:cs="仿宋"/>
          <w:color w:val="auto"/>
          <w:kern w:val="2"/>
          <w:sz w:val="32"/>
          <w:szCs w:val="32"/>
          <w:highlight w:val="none"/>
          <w:lang w:val="en-US" w:eastAsia="zh-CN"/>
        </w:rPr>
        <w:t>3个15.80</w:t>
      </w:r>
      <w:r>
        <w:rPr>
          <w:rFonts w:hint="eastAsia" w:ascii="仿宋" w:hAnsi="仿宋" w:eastAsia="仿宋" w:cs="仿宋"/>
          <w:color w:val="auto"/>
          <w:kern w:val="2"/>
          <w:sz w:val="32"/>
          <w:szCs w:val="32"/>
          <w:highlight w:val="none"/>
          <w:lang w:val="en-US" w:eastAsia="zh-CN"/>
        </w:rPr>
        <w:t>万元,其他资金安排项目</w:t>
      </w:r>
      <w:r>
        <w:rPr>
          <w:rFonts w:hint="eastAsia" w:ascii="仿宋" w:hAnsi="仿宋" w:eastAsia="仿宋" w:cs="仿宋"/>
          <w:color w:val="auto"/>
          <w:kern w:val="2"/>
          <w:sz w:val="32"/>
          <w:szCs w:val="32"/>
          <w:highlight w:val="none"/>
          <w:lang w:val="en-US" w:eastAsia="zh-CN"/>
        </w:rPr>
        <w:t>0个0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8"/>
          <w:rFonts w:hint="eastAsia" w:ascii="仿宋" w:hAnsi="仿宋" w:eastAsia="仿宋" w:cs="仿宋"/>
          <w:b w:val="0"/>
          <w:color w:val="auto"/>
          <w:spacing w:val="-4"/>
          <w:sz w:val="32"/>
          <w:szCs w:val="32"/>
          <w:highlight w:val="none"/>
          <w:lang w:val="en-US" w:eastAsia="zh-CN"/>
        </w:rPr>
        <w:t>1</w:t>
      </w:r>
      <w:r>
        <w:rPr>
          <w:rStyle w:val="8"/>
          <w:rFonts w:hint="eastAsia" w:ascii="仿宋" w:hAnsi="仿宋" w:eastAsia="仿宋" w:cs="仿宋"/>
          <w:b w:val="0"/>
          <w:color w:val="auto"/>
          <w:spacing w:val="-4"/>
          <w:sz w:val="32"/>
          <w:szCs w:val="32"/>
          <w:highlight w:val="none"/>
          <w:lang w:val="en-US" w:eastAsia="zh-CN"/>
        </w:rPr>
        <w:t>条，二级指标共</w:t>
      </w:r>
      <w:r>
        <w:rPr>
          <w:rStyle w:val="8"/>
          <w:rFonts w:hint="eastAsia" w:ascii="仿宋" w:hAnsi="仿宋" w:eastAsia="仿宋" w:cs="仿宋"/>
          <w:b w:val="0"/>
          <w:color w:val="auto"/>
          <w:spacing w:val="-4"/>
          <w:sz w:val="32"/>
          <w:szCs w:val="32"/>
          <w:highlight w:val="none"/>
          <w:lang w:val="en-US" w:eastAsia="zh-CN"/>
        </w:rPr>
        <w:t>1</w:t>
      </w:r>
      <w:r>
        <w:rPr>
          <w:rStyle w:val="8"/>
          <w:rFonts w:hint="eastAsia" w:ascii="仿宋" w:hAnsi="仿宋" w:eastAsia="仿宋" w:cs="仿宋"/>
          <w:b w:val="0"/>
          <w:color w:val="auto"/>
          <w:spacing w:val="-4"/>
          <w:sz w:val="32"/>
          <w:szCs w:val="32"/>
          <w:highlight w:val="none"/>
          <w:lang w:val="en-US" w:eastAsia="zh-CN"/>
        </w:rPr>
        <w:t>条，三级指标共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条，其中量化指标条数共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数量指标1：开展惠民政策宣传次数,预期指标值为：&gt;=5次；监控节点完成值：=2次；评价实际完成值：=5次；指标完成率：100.00%；成效分析：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w:t>
      </w:r>
      <w:r>
        <w:rPr>
          <w:rStyle w:val="8"/>
          <w:rFonts w:hint="eastAsia" w:ascii="仿宋" w:hAnsi="仿宋" w:eastAsia="仿宋" w:cs="仿宋"/>
          <w:b w:val="0"/>
          <w:bCs/>
          <w:color w:val="auto"/>
          <w:spacing w:val="-4"/>
          <w:sz w:val="32"/>
          <w:szCs w:val="32"/>
          <w:highlight w:val="none"/>
          <w:lang w:val="en-US" w:eastAsia="zh-CN"/>
        </w:rPr>
        <w:t>各族群众安全感</w:t>
      </w:r>
      <w:r>
        <w:rPr>
          <w:rStyle w:val="8"/>
          <w:rFonts w:hint="eastAsia" w:ascii="仿宋" w:hAnsi="仿宋" w:eastAsia="仿宋" w:cs="仿宋"/>
          <w:b w:val="0"/>
          <w:color w:val="auto"/>
          <w:spacing w:val="-4"/>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数量指标2：为民办实事件数,预期指标值为：&gt;=7件；监控节点完成值：=3件；评价实际完成值：=7件；指标完成率：100.00%；成效分析：通过单位正常运转，提高了各族群众幸福感。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数量指标3：信访事项化解件数量,预期指标值为：&gt;=5次；监控节点完成值：=2次；评价实际完成值：=5次；指标完成率：100.00%；成效分析：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w:t>
      </w:r>
      <w:r>
        <w:rPr>
          <w:rStyle w:val="8"/>
          <w:rFonts w:hint="eastAsia" w:ascii="仿宋" w:hAnsi="仿宋" w:eastAsia="仿宋" w:cs="仿宋"/>
          <w:b w:val="0"/>
          <w:bCs/>
          <w:color w:val="auto"/>
          <w:spacing w:val="-4"/>
          <w:sz w:val="32"/>
          <w:szCs w:val="32"/>
          <w:highlight w:val="none"/>
          <w:lang w:val="en-US" w:eastAsia="zh-CN"/>
        </w:rPr>
        <w:t>提高了各族群众获得感</w:t>
      </w:r>
      <w:r>
        <w:rPr>
          <w:rStyle w:val="8"/>
          <w:rFonts w:hint="eastAsia" w:ascii="仿宋" w:hAnsi="仿宋" w:eastAsia="仿宋" w:cs="仿宋"/>
          <w:b w:val="0"/>
          <w:color w:val="auto"/>
          <w:spacing w:val="-4"/>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default"/>
          <w:color w:val="auto"/>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数量指标4：节日慰问人次,预期指标值为：&gt;=50人次；监控节点完成值：=25人次；评价实际完成值：=50人次；指标完成率：100.00%；成效分析：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w:t>
      </w:r>
      <w:r>
        <w:rPr>
          <w:rStyle w:val="8"/>
          <w:rFonts w:hint="eastAsia" w:ascii="仿宋" w:hAnsi="仿宋" w:eastAsia="仿宋" w:cs="仿宋"/>
          <w:b w:val="0"/>
          <w:bCs/>
          <w:color w:val="auto"/>
          <w:spacing w:val="-4"/>
          <w:sz w:val="32"/>
          <w:szCs w:val="32"/>
          <w:highlight w:val="none"/>
          <w:lang w:val="en-US" w:eastAsia="zh-CN"/>
        </w:rPr>
        <w:t>提高了各族群众体验感</w:t>
      </w:r>
      <w:r>
        <w:rPr>
          <w:rStyle w:val="8"/>
          <w:rFonts w:hint="eastAsia" w:ascii="仿宋" w:hAnsi="仿宋" w:eastAsia="仿宋" w:cs="仿宋"/>
          <w:b w:val="0"/>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default"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2023年度部门整体支出绩效自评综合得分100分，评价结果为“</w:t>
      </w:r>
      <w:r>
        <w:rPr>
          <w:rStyle w:val="8"/>
          <w:rFonts w:hint="eastAsia" w:ascii="仿宋" w:hAnsi="仿宋" w:eastAsia="仿宋" w:cs="仿宋"/>
          <w:b w:val="0"/>
          <w:bCs/>
          <w:color w:val="auto"/>
          <w:spacing w:val="-4"/>
          <w:sz w:val="32"/>
          <w:szCs w:val="32"/>
          <w:highlight w:val="none"/>
          <w:lang w:val="en-US" w:eastAsia="zh-CN"/>
        </w:rPr>
        <w:t>优”</w:t>
      </w:r>
      <w:r>
        <w:rPr>
          <w:rStyle w:val="8"/>
          <w:rFonts w:hint="eastAsia" w:ascii="仿宋" w:hAnsi="仿宋" w:eastAsia="仿宋" w:cs="仿宋"/>
          <w:b w:val="0"/>
          <w:bCs/>
          <w:color w:val="auto"/>
          <w:spacing w:val="-4"/>
          <w:sz w:val="32"/>
          <w:szCs w:val="32"/>
          <w:highlight w:val="none"/>
          <w:lang w:val="en-US" w:eastAsia="zh-CN"/>
        </w:rPr>
        <w:t>。</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基层财务工作基础还要进一步夯实，财务工作人员少，工作压力大，财务工作</w:t>
      </w:r>
      <w:bookmarkStart w:id="0" w:name="_GoBack"/>
      <w:bookmarkEnd w:id="0"/>
      <w:r>
        <w:rPr>
          <w:rStyle w:val="8"/>
          <w:rFonts w:hint="eastAsia" w:ascii="仿宋" w:hAnsi="仿宋" w:eastAsia="仿宋" w:cs="仿宋"/>
          <w:b w:val="0"/>
          <w:bCs/>
          <w:color w:val="auto"/>
          <w:spacing w:val="-4"/>
          <w:sz w:val="32"/>
          <w:szCs w:val="32"/>
          <w:highlight w:val="none"/>
          <w:lang w:val="en-US" w:eastAsia="zh-CN"/>
        </w:rPr>
        <w:t>水平仍需进一步提高。面对这些问题我们将认真分析，切实加以解决，进一步完善财务制度，会犯财经纪律，严格控制非生产性开支，进一步提高项目支出水平。</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加强学习，进一步明确如何参照考核体系，科学合理设定绩效目标，充分发挥预算管理工作效用。财务上，会计核算要更加详细为本单位各项工作的开展、总结、评估做有效数据资料支撑，为各项业务工作更好地开展提供帮助。</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B38669-E5FC-4B60-9F9A-69B7DA84AB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C8003EF-7B6C-4299-9EDB-BEEA9F74D703}"/>
  </w:font>
  <w:font w:name="仿宋_GB2312">
    <w:panose1 w:val="02010609030101010101"/>
    <w:charset w:val="86"/>
    <w:family w:val="modern"/>
    <w:pitch w:val="default"/>
    <w:sig w:usb0="00000001" w:usb1="080E0000" w:usb2="00000000" w:usb3="00000000" w:csb0="00040000" w:csb1="00000000"/>
    <w:embedRegular r:id="rId3" w:fontKey="{0D1BA8F6-4690-4E4A-ADF7-C77ED6399D30}"/>
  </w:font>
  <w:font w:name="楷体">
    <w:panose1 w:val="02010609060101010101"/>
    <w:charset w:val="86"/>
    <w:family w:val="modern"/>
    <w:pitch w:val="default"/>
    <w:sig w:usb0="800002BF" w:usb1="38CF7CFA" w:usb2="00000016" w:usb3="00000000" w:csb0="00040001" w:csb1="00000000"/>
    <w:embedRegular r:id="rId4" w:fontKey="{C0ACA2CA-0484-433D-ACA4-62CA9625CF42}"/>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9A1EC1"/>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661726"/>
    <w:rsid w:val="0F772EC6"/>
    <w:rsid w:val="0F877334"/>
    <w:rsid w:val="10182B28"/>
    <w:rsid w:val="109160DD"/>
    <w:rsid w:val="10947BCD"/>
    <w:rsid w:val="10B51718"/>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6E77A0"/>
    <w:rsid w:val="23E6478B"/>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9B58DA"/>
    <w:rsid w:val="2AB71864"/>
    <w:rsid w:val="2AD30362"/>
    <w:rsid w:val="2B161A0E"/>
    <w:rsid w:val="2B1D67DB"/>
    <w:rsid w:val="2B2D4A4E"/>
    <w:rsid w:val="2BCA3DF7"/>
    <w:rsid w:val="2BFA5278"/>
    <w:rsid w:val="2C3F44FD"/>
    <w:rsid w:val="2C8903AA"/>
    <w:rsid w:val="2CD01740"/>
    <w:rsid w:val="2CE43832"/>
    <w:rsid w:val="2DAA6B58"/>
    <w:rsid w:val="2DB034FA"/>
    <w:rsid w:val="2E4A4A48"/>
    <w:rsid w:val="2E6C4434"/>
    <w:rsid w:val="2F8715FA"/>
    <w:rsid w:val="2FB43990"/>
    <w:rsid w:val="2FC040E2"/>
    <w:rsid w:val="2FE602C8"/>
    <w:rsid w:val="30143D58"/>
    <w:rsid w:val="30240D0F"/>
    <w:rsid w:val="308158E7"/>
    <w:rsid w:val="309817B5"/>
    <w:rsid w:val="30A86679"/>
    <w:rsid w:val="31505F30"/>
    <w:rsid w:val="3177520D"/>
    <w:rsid w:val="31C7249B"/>
    <w:rsid w:val="31FB7654"/>
    <w:rsid w:val="32565D7D"/>
    <w:rsid w:val="32852075"/>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3E772A"/>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4F3215"/>
    <w:rsid w:val="548754B8"/>
    <w:rsid w:val="54CA318A"/>
    <w:rsid w:val="55517AB0"/>
    <w:rsid w:val="57192BB8"/>
    <w:rsid w:val="5734671F"/>
    <w:rsid w:val="57423EBA"/>
    <w:rsid w:val="57813298"/>
    <w:rsid w:val="57AE7CE9"/>
    <w:rsid w:val="57BB500C"/>
    <w:rsid w:val="58210263"/>
    <w:rsid w:val="58753EBA"/>
    <w:rsid w:val="58E426FC"/>
    <w:rsid w:val="58FC3B2E"/>
    <w:rsid w:val="59063548"/>
    <w:rsid w:val="5A6776CD"/>
    <w:rsid w:val="5ADD1E8F"/>
    <w:rsid w:val="5AE6303A"/>
    <w:rsid w:val="5B155A7C"/>
    <w:rsid w:val="5B442B97"/>
    <w:rsid w:val="5B745BFD"/>
    <w:rsid w:val="5B977B3E"/>
    <w:rsid w:val="5BDC72E1"/>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6F2403E7"/>
    <w:rsid w:val="702F5608"/>
    <w:rsid w:val="708F2CC4"/>
    <w:rsid w:val="709444F0"/>
    <w:rsid w:val="71182116"/>
    <w:rsid w:val="71205936"/>
    <w:rsid w:val="71477CCB"/>
    <w:rsid w:val="7178018F"/>
    <w:rsid w:val="71B26DD0"/>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B930F25"/>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line="560" w:lineRule="exact"/>
      <w:outlineLvl w:val="2"/>
    </w:pPr>
    <w:rPr>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autoRedefine/>
    <w:qFormat/>
    <w:uiPriority w:val="0"/>
    <w:rPr>
      <w:b/>
      <w:bCs/>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styleId="11">
    <w:name w:val="List Paragraph"/>
    <w:basedOn w:val="1"/>
    <w:autoRedefine/>
    <w:unhideWhenUsed/>
    <w:qFormat/>
    <w:uiPriority w:val="99"/>
    <w:pPr>
      <w:ind w:firstLine="420" w:firstLineChars="200"/>
    </w:pPr>
  </w:style>
  <w:style w:type="paragraph" w:customStyle="1" w:styleId="12">
    <w:name w:val="正文文本1"/>
    <w:basedOn w:val="1"/>
    <w:autoRedefine/>
    <w:qFormat/>
    <w:uiPriority w:val="0"/>
    <w:pPr>
      <w:widowControl w:val="0"/>
      <w:shd w:val="clear" w:color="auto" w:fill="auto"/>
      <w:spacing w:line="379" w:lineRule="auto"/>
      <w:ind w:firstLine="400"/>
    </w:pPr>
    <w:rPr>
      <w:rFonts w:ascii="宋体" w:hAnsi="宋体" w:eastAsia="宋体" w:cs="宋体"/>
      <w:sz w:val="30"/>
      <w:szCs w:val="30"/>
      <w:u w:val="none"/>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34</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2024-05-10T03:53:27Z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755C7CBED02C474FB9F442440276086E_13</vt:lpwstr>
  </property>
</Properties>
</file>