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库尔勒市希望街道办事处</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z w:val="32"/>
          <w:szCs w:val="32"/>
          <w:highlight w:val="none"/>
          <w:lang w:val="en-US" w:eastAsia="zh-CN"/>
        </w:rPr>
        <w:t>（</w:t>
      </w:r>
      <w:r>
        <w:rPr>
          <w:rFonts w:hint="eastAsia" w:ascii="仿宋_GB2312" w:eastAsia="仿宋_GB2312"/>
          <w:color w:val="auto"/>
          <w:spacing w:val="0"/>
          <w:sz w:val="32"/>
          <w:szCs w:val="32"/>
          <w:highlight w:val="none"/>
          <w:lang w:val="en-US" w:eastAsia="zh-CN"/>
        </w:rPr>
        <w:t>1）加强党的建设。落实基层党建工作责任制,加强党 员队伍的思想建设、组织建设、作风建设、制度建设和党风 廉政建设;做好党员管理、发展工作,改善党员队伍结构。提 高党员素质;加强非公有制经济组织和社会组织党建工作, 实现党的组织和工作全覆盖;宣传贯彻党的路线方针政策和 法律法规,加强党对意识形态和统-战线工作的领导;指导工 会、共青团、妇联等群团工作。坚持党管武装的基本原则和 制度,协调各方力量,对行政区人民武装工作实行统一管理。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 xml:space="preserve">（2）统筹区域发展。指导、监督行政区各单位认真执 行市委、市人民政府的各项决议、确保市委、市人民政府各 项工作总体部署和工作任务的全面落实。坚持依法行政，推 进民主政治，加强基础设施建设；制定街道经济发展、社区 建设、社区服务等工作规划和年度计划，并组织实施。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 xml:space="preserve">（3）组织公共服务。加强公共设施建设，开展就业和 社会保障等服务。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 xml:space="preserve">（4）实施公共管理。推进政务、居务公开，抓好卫生 5 健康、人口计划生育工作，实施一票否决制，保障妇女儿童 合法权益；开展行政区内的普法教育，完善人民调解组织， 为居民提供法律服务;加强居民的文明教育、文化教育,加强 流动人口管理,增强居民的文化意识和城市意识。保障残疾人合法权益不受侵犯;负责辖区内统计工作。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 xml:space="preserve">（5）维护公共安全。承担辖区内社会治安综合治理、 信访、平安建设、应急管理、安全生产等有关工作;对辖区内各单位综合治理工作实行一票否决权;强化法制宣传教育、畅通诉求渠道、调解民事纠纷、化解社会矛盾,处理群众性突发事件,做好社会安置帮教、社区矫正和特殊群体帮教帮扶,维护社会秩序和社会稳定;组织抢险救灾,及时上报和处置重大社情、疫情、险情等,保护人民群众的生命财产安全;承担民兵预备役、征兵、退役军人服务、拥军优属工作。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 xml:space="preserve">（6）监督执法管理。协助有关部门加强对行政区内的 文化娱乐等场所的管理及监督工作，对辖区内各类行政执法 工作进行统筹协调，依法依规行使行政处罚权，组织开展群 众监督和社会监督。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 xml:space="preserve">（7）动员社会参与。动员辖区内各类单位、社会组织、 社区居民等社会力量参与社会治理,为城市发展服务。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（8）指导居民委员会建设,健全居民自治平台,组织驻 街道单位和居民参与社区建设、管理。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 xml:space="preserve">（9）按照管理权限,负责机关和事业单位工作人员的教 育、培养、选拔、考核和监督工作；协助管理好派驻单位工 作人员。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 xml:space="preserve">（10）依法依规承担下放的经济社会管理权限和行政执 法事项。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（11）完成市委、市人民政府交办的其他事项。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库尔勒市希望街道办事处2023年度，实有人数</w:t>
      </w:r>
      <w:r>
        <w:rPr>
          <w:rFonts w:hint="eastAsia" w:ascii="仿宋_GB2312" w:eastAsia="仿宋_GB2312"/>
          <w:color w:val="auto"/>
          <w:spacing w:val="0"/>
          <w:sz w:val="32"/>
          <w:szCs w:val="32"/>
          <w:highlight w:val="none"/>
          <w:lang w:val="zh-CN" w:eastAsia="zh-CN"/>
        </w:rPr>
        <w:t>42</w:t>
      </w:r>
      <w:r>
        <w:rPr>
          <w:rFonts w:hint="eastAsia" w:ascii="仿宋_GB2312" w:eastAsia="仿宋_GB2312"/>
          <w:color w:val="auto"/>
          <w:spacing w:val="0"/>
          <w:sz w:val="32"/>
          <w:szCs w:val="32"/>
          <w:highlight w:val="none"/>
          <w:lang w:val="en-US" w:eastAsia="zh-CN"/>
        </w:rPr>
        <w:t>人，其中：在职人员</w:t>
      </w:r>
      <w:r>
        <w:rPr>
          <w:rFonts w:hint="eastAsia" w:ascii="仿宋_GB2312" w:eastAsia="仿宋_GB2312"/>
          <w:color w:val="auto"/>
          <w:spacing w:val="0"/>
          <w:sz w:val="32"/>
          <w:szCs w:val="32"/>
          <w:highlight w:val="none"/>
          <w:lang w:val="zh-CN" w:eastAsia="zh-CN"/>
        </w:rPr>
        <w:t>39</w:t>
      </w:r>
      <w:r>
        <w:rPr>
          <w:rFonts w:hint="eastAsia" w:ascii="仿宋_GB2312" w:eastAsia="仿宋_GB2312"/>
          <w:color w:val="auto"/>
          <w:spacing w:val="0"/>
          <w:sz w:val="32"/>
          <w:szCs w:val="32"/>
          <w:highlight w:val="none"/>
          <w:lang w:val="en-US" w:eastAsia="zh-CN"/>
        </w:rPr>
        <w:t>人，离休人员</w:t>
      </w:r>
      <w:r>
        <w:rPr>
          <w:rFonts w:hint="eastAsia" w:ascii="仿宋_GB2312" w:eastAsia="仿宋_GB2312"/>
          <w:color w:val="auto"/>
          <w:spacing w:val="0"/>
          <w:sz w:val="32"/>
          <w:szCs w:val="32"/>
          <w:highlight w:val="none"/>
          <w:lang w:val="zh-CN" w:eastAsia="zh-CN"/>
        </w:rPr>
        <w:t>0</w:t>
      </w:r>
      <w:r>
        <w:rPr>
          <w:rFonts w:hint="eastAsia" w:ascii="仿宋_GB2312" w:eastAsia="仿宋_GB2312"/>
          <w:color w:val="auto"/>
          <w:spacing w:val="0"/>
          <w:sz w:val="32"/>
          <w:szCs w:val="32"/>
          <w:highlight w:val="none"/>
          <w:lang w:val="en-US" w:eastAsia="zh-CN"/>
        </w:rPr>
        <w:t>人，退休人员</w:t>
      </w:r>
      <w:r>
        <w:rPr>
          <w:rFonts w:hint="eastAsia" w:ascii="仿宋_GB2312" w:eastAsia="仿宋_GB2312"/>
          <w:color w:val="auto"/>
          <w:spacing w:val="0"/>
          <w:sz w:val="32"/>
          <w:szCs w:val="32"/>
          <w:highlight w:val="none"/>
          <w:lang w:val="zh-CN" w:eastAsia="zh-CN"/>
        </w:rPr>
        <w:t>3</w:t>
      </w:r>
      <w:r>
        <w:rPr>
          <w:rFonts w:hint="eastAsia" w:ascii="仿宋_GB2312" w:eastAsia="仿宋_GB2312"/>
          <w:color w:val="auto"/>
          <w:spacing w:val="0"/>
          <w:sz w:val="32"/>
          <w:szCs w:val="32"/>
          <w:highlight w:val="none"/>
          <w:lang w:val="en-US" w:eastAsia="zh-CN"/>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color w:val="auto"/>
          <w:spacing w:val="0"/>
          <w:sz w:val="32"/>
          <w:szCs w:val="32"/>
          <w:highlight w:val="none"/>
          <w:lang w:val="en-US" w:eastAsia="zh-CN"/>
        </w:rPr>
        <w:t>单位无下属预算单位，下设3个科室，分别是：党建办公室、行政办公室、财务室。</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1,120.60万元，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1,120.60万元，使用非财政拨款结余0.00万元，年初结转和结余0.00万元。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1,120.60万元，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1,120.60万元，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减少26.59万元</w:t>
      </w:r>
      <w:r>
        <w:rPr>
          <w:rFonts w:hint="eastAsia" w:ascii="仿宋_GB2312" w:eastAsia="仿宋_GB2312"/>
          <w:color w:val="auto"/>
          <w:spacing w:val="0"/>
          <w:sz w:val="32"/>
          <w:szCs w:val="32"/>
          <w:highlight w:val="none"/>
          <w:lang w:eastAsia="zh-CN"/>
        </w:rPr>
        <w:t>，下降2.32%，主要原因是：响应节俭要求，节省开支，在保证基本运营的情况下，非必须品暂不购买不支付。</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1,120.60</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1,120.60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本年支出1,120.60万元，其中：基本支出1,071.60万元，占95.63%；项目支出49.00万元，占4.37%；上缴上级支出0.00万元，占0.00%；经营支出0.00万元，占0.00%；对附属单位补助支出0.00万元，占0.00%。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1,120.60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1,120.60</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1,120.60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1,120.60</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减少26.59万元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下降2.32%,</w:t>
      </w:r>
      <w:r>
        <w:rPr>
          <w:rFonts w:hint="eastAsia" w:ascii="仿宋_GB2312" w:eastAsia="仿宋_GB2312"/>
          <w:color w:val="auto"/>
          <w:spacing w:val="0"/>
          <w:sz w:val="32"/>
          <w:szCs w:val="32"/>
          <w:highlight w:val="none"/>
          <w:lang w:eastAsia="zh-CN"/>
        </w:rPr>
        <w:t>主要原因是：响应节俭要求，节省开支，在保证基本运营的情况下，非必须品暂不购买不支付。与年初预算相比，年初预算数</w:t>
      </w:r>
      <w:r>
        <w:rPr>
          <w:rFonts w:hint="eastAsia" w:ascii="仿宋_GB2312" w:eastAsia="仿宋_GB2312"/>
          <w:color w:val="auto"/>
          <w:spacing w:val="0"/>
          <w:sz w:val="32"/>
          <w:szCs w:val="32"/>
          <w:highlight w:val="none"/>
          <w:lang w:val="zh-CN" w:eastAsia="zh-CN"/>
        </w:rPr>
        <w:t>1,148.09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1,120.60</w:t>
      </w:r>
      <w:r>
        <w:rPr>
          <w:rFonts w:hint="eastAsia" w:ascii="仿宋_GB2312" w:eastAsia="仿宋_GB2312"/>
          <w:color w:val="auto"/>
          <w:spacing w:val="0"/>
          <w:sz w:val="32"/>
          <w:szCs w:val="32"/>
          <w:highlight w:val="none"/>
          <w:lang w:eastAsia="zh-CN"/>
        </w:rPr>
        <w:t>万元，预决算差异率-2.39%，主要原因是：响应节俭要求，节省开支，在保证基本运营的情况下，非必须品暂不购买不支付。</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2023年度一般公共预算财政拨款支出1,113.94万元，占本年支出合计的</w:t>
      </w:r>
      <w:r>
        <w:rPr>
          <w:rFonts w:hint="eastAsia" w:ascii="仿宋_GB2312" w:eastAsia="仿宋_GB2312"/>
          <w:color w:val="auto"/>
          <w:spacing w:val="0"/>
          <w:sz w:val="32"/>
          <w:szCs w:val="32"/>
          <w:highlight w:val="none"/>
          <w:lang w:val="zh-CN" w:eastAsia="zh-CN"/>
        </w:rPr>
        <w:t>99.41%</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减少33.26万元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下降2.90%,</w:t>
      </w:r>
      <w:r>
        <w:rPr>
          <w:rFonts w:hint="eastAsia" w:ascii="仿宋_GB2312" w:eastAsia="仿宋_GB2312"/>
          <w:color w:val="auto"/>
          <w:spacing w:val="0"/>
          <w:sz w:val="32"/>
          <w:szCs w:val="32"/>
          <w:highlight w:val="none"/>
          <w:lang w:eastAsia="zh-CN"/>
        </w:rPr>
        <w:t>主要原因是：响应节俭要求，节省开支，在保证基本运营的情况下，非必须品暂不购买不支付。与年初预算相比，年初预算数</w:t>
      </w:r>
      <w:r>
        <w:rPr>
          <w:rFonts w:hint="eastAsia" w:ascii="仿宋_GB2312" w:eastAsia="仿宋_GB2312"/>
          <w:color w:val="auto"/>
          <w:spacing w:val="0"/>
          <w:sz w:val="32"/>
          <w:szCs w:val="32"/>
          <w:highlight w:val="none"/>
          <w:lang w:val="zh-CN" w:eastAsia="zh-CN"/>
        </w:rPr>
        <w:t>1,147.77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1,113.94</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-2.95%</w:t>
      </w:r>
      <w:r>
        <w:rPr>
          <w:rFonts w:hint="eastAsia" w:ascii="仿宋_GB2312" w:eastAsia="仿宋_GB2312"/>
          <w:color w:val="auto"/>
          <w:spacing w:val="0"/>
          <w:sz w:val="32"/>
          <w:szCs w:val="32"/>
          <w:highlight w:val="none"/>
          <w:lang w:eastAsia="zh-CN"/>
        </w:rPr>
        <w:t>，主要原因是：响应节俭要求，节省开支，在保证基本运营的情况下，非必须品暂不购买不支付。</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858.36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77.06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3.04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0.27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文化旅游体育与传媒支出（类）</w:t>
      </w:r>
      <w:r>
        <w:rPr>
          <w:rFonts w:hint="eastAsia" w:ascii="仿宋_GB2312" w:hAnsi="Times New Roman" w:eastAsia="仿宋_GB2312" w:cs="Times New Roman"/>
          <w:color w:val="auto"/>
          <w:spacing w:val="0"/>
          <w:kern w:val="2"/>
          <w:sz w:val="32"/>
          <w:szCs w:val="32"/>
          <w:highlight w:val="none"/>
          <w:lang w:val="zh-CN" w:eastAsia="zh-CN" w:bidi="ar-SA"/>
        </w:rPr>
        <w:t>4.70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0.42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169.20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15.19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5</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29.42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2.64</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1.一般公共服务支出（类）政府办公厅（室）及相关机构事务（款）行政运行（项）:支出决算数为772.07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45.99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5.62%，主要原因是：</w:t>
      </w:r>
      <w:r>
        <w:rPr>
          <w:rFonts w:hint="eastAsia" w:eastAsia="仿宋_GB2312"/>
          <w:color w:val="auto"/>
          <w:sz w:val="32"/>
          <w:szCs w:val="32"/>
          <w:highlight w:val="none"/>
          <w:lang w:eastAsia="zh-CN"/>
        </w:rPr>
        <w:t>事业岗人员辞职，人员工资减少，</w:t>
      </w:r>
      <w:r>
        <w:rPr>
          <w:rFonts w:hint="eastAsia" w:ascii="Times New Roman" w:hAnsi="Times New Roman" w:eastAsia="仿宋_GB2312" w:cs="Times New Roman"/>
          <w:color w:val="auto"/>
          <w:kern w:val="2"/>
          <w:sz w:val="32"/>
          <w:szCs w:val="32"/>
          <w:highlight w:val="none"/>
          <w:lang w:val="en-US" w:eastAsia="zh-CN" w:bidi="ar-SA"/>
        </w:rPr>
        <w:t>行政运行</w:t>
      </w:r>
      <w:r>
        <w:rPr>
          <w:rFonts w:hint="eastAsia" w:eastAsia="仿宋_GB2312" w:cs="Times New Roman"/>
          <w:color w:val="auto"/>
          <w:kern w:val="2"/>
          <w:sz w:val="32"/>
          <w:szCs w:val="32"/>
          <w:highlight w:val="none"/>
          <w:lang w:val="en-US" w:eastAsia="zh-CN" w:bidi="ar-SA"/>
        </w:rPr>
        <w:t>支出减少</w:t>
      </w:r>
      <w:r>
        <w:rPr>
          <w:rFonts w:hint="eastAsia" w:eastAsia="仿宋_GB2312"/>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.一般公共服务支出（类）政府办公厅（室）及相关机构事务（款）其他政府办公厅（室）及相关机构事务支出（项）:支出决算数为9.80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21.87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69.06%，主要原因是：</w:t>
      </w:r>
      <w:r>
        <w:rPr>
          <w:rFonts w:hint="eastAsia" w:ascii="仿宋_GB2312" w:eastAsia="仿宋_GB2312"/>
          <w:color w:val="auto"/>
          <w:spacing w:val="0"/>
          <w:sz w:val="32"/>
          <w:szCs w:val="32"/>
          <w:highlight w:val="none"/>
          <w:lang w:eastAsia="zh-CN"/>
        </w:rPr>
        <w:t>响应节俭要求，节省开支，在保证基本运营的情况下，非必须品暂不购买不支付。</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.一般公共服务支出（类）纪检监察事务（款）其他纪检监察事务支出（项）:支出决算数为2.34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2.18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增长1362.50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本年支出了2022年未支付款项0.87万元，本年度</w:t>
      </w:r>
      <w:r>
        <w:rPr>
          <w:rFonts w:hint="eastAsia" w:ascii="Times New Roman" w:hAnsi="Times New Roman" w:eastAsia="仿宋_GB2312" w:cs="Times New Roman"/>
          <w:color w:val="auto"/>
          <w:kern w:val="2"/>
          <w:sz w:val="32"/>
          <w:szCs w:val="32"/>
          <w:highlight w:val="none"/>
          <w:lang w:val="en-US" w:eastAsia="zh-CN" w:bidi="ar-SA"/>
        </w:rPr>
        <w:t>其他纪检监察事务支出</w:t>
      </w:r>
      <w:r>
        <w:rPr>
          <w:rFonts w:hint="eastAsia" w:eastAsia="仿宋_GB2312" w:cs="Times New Roman"/>
          <w:color w:val="auto"/>
          <w:kern w:val="2"/>
          <w:sz w:val="32"/>
          <w:szCs w:val="32"/>
          <w:highlight w:val="none"/>
          <w:lang w:val="en-US" w:eastAsia="zh-CN" w:bidi="ar-SA"/>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4</w:t>
      </w:r>
      <w:r>
        <w:rPr>
          <w:rFonts w:hint="eastAsia" w:ascii="Times New Roman" w:hAnsi="Times New Roman" w:eastAsia="仿宋_GB2312" w:cs="Times New Roman"/>
          <w:color w:val="auto"/>
          <w:kern w:val="2"/>
          <w:sz w:val="32"/>
          <w:szCs w:val="32"/>
          <w:highlight w:val="none"/>
          <w:lang w:val="en-US" w:eastAsia="zh-CN" w:bidi="ar-SA"/>
        </w:rPr>
        <w:t>.一般公共服务支出（类）组织事务（款）其他组织事务支出（项）:支出决算数为73.64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42.15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133.85%，主要原因是：</w:t>
      </w:r>
      <w:r>
        <w:rPr>
          <w:rFonts w:hint="eastAsia" w:eastAsia="仿宋_GB2312" w:cs="Times New Roman"/>
          <w:color w:val="auto"/>
          <w:kern w:val="2"/>
          <w:sz w:val="32"/>
          <w:szCs w:val="32"/>
          <w:highlight w:val="none"/>
          <w:lang w:val="zh-CN" w:eastAsia="zh-CN" w:bidi="ar-SA"/>
        </w:rPr>
        <w:t>访惠聚工作队补贴及第一书记补贴人数增加，2023年度自治区基层组织建设资金新增</w:t>
      </w:r>
      <w:r>
        <w:rPr>
          <w:rFonts w:hint="eastAsia" w:eastAsia="仿宋_GB2312" w:cs="Times New Roman"/>
          <w:color w:val="auto"/>
          <w:kern w:val="2"/>
          <w:sz w:val="32"/>
          <w:szCs w:val="32"/>
          <w:highlight w:val="none"/>
          <w:lang w:val="en-US" w:eastAsia="zh-CN" w:bidi="ar-SA"/>
        </w:rPr>
        <w:t>25万元，</w:t>
      </w:r>
      <w:r>
        <w:rPr>
          <w:rFonts w:hint="eastAsia" w:ascii="Times New Roman" w:hAnsi="Times New Roman" w:eastAsia="仿宋_GB2312" w:cs="Times New Roman"/>
          <w:color w:val="auto"/>
          <w:kern w:val="2"/>
          <w:sz w:val="32"/>
          <w:szCs w:val="32"/>
          <w:highlight w:val="none"/>
          <w:lang w:val="en-US" w:eastAsia="zh-CN" w:bidi="ar-SA"/>
        </w:rPr>
        <w:t>其他组织事务支出</w:t>
      </w:r>
      <w:r>
        <w:rPr>
          <w:rFonts w:hint="eastAsia" w:eastAsia="仿宋_GB2312" w:cs="Times New Roman"/>
          <w:color w:val="auto"/>
          <w:kern w:val="2"/>
          <w:sz w:val="32"/>
          <w:szCs w:val="32"/>
          <w:highlight w:val="none"/>
          <w:lang w:val="en-US" w:eastAsia="zh-CN" w:bidi="ar-SA"/>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.一般公共服务支出（类）统战事务（款）宗教事务（项）:支出决算数为0.50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0.50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本年新增</w:t>
      </w:r>
      <w:r>
        <w:rPr>
          <w:rFonts w:hint="eastAsia" w:eastAsia="仿宋_GB2312" w:cs="Times New Roman"/>
          <w:color w:val="auto"/>
          <w:kern w:val="2"/>
          <w:sz w:val="32"/>
          <w:szCs w:val="32"/>
          <w:highlight w:val="none"/>
          <w:lang w:val="zh-CN" w:eastAsia="zh-CN" w:bidi="ar-SA"/>
        </w:rPr>
        <w:t>2023年自治区驻村管寺管委会工作及人员经费。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6</w:t>
      </w:r>
      <w:r>
        <w:rPr>
          <w:rFonts w:hint="eastAsia" w:ascii="Times New Roman" w:hAnsi="Times New Roman" w:eastAsia="仿宋_GB2312" w:cs="Times New Roman"/>
          <w:color w:val="auto"/>
          <w:kern w:val="2"/>
          <w:sz w:val="32"/>
          <w:szCs w:val="32"/>
          <w:highlight w:val="none"/>
          <w:lang w:val="en-US" w:eastAsia="zh-CN" w:bidi="ar-SA"/>
        </w:rPr>
        <w:t>.教育支出（类）进修及培训（款）培训支出（项）:支出决算数为3.04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1.38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83.</w:t>
      </w:r>
      <w:r>
        <w:rPr>
          <w:rFonts w:hint="eastAsia" w:eastAsia="仿宋_GB2312" w:cs="Times New Roman"/>
          <w:color w:val="auto"/>
          <w:kern w:val="2"/>
          <w:sz w:val="32"/>
          <w:szCs w:val="32"/>
          <w:highlight w:val="none"/>
          <w:lang w:val="en-US" w:eastAsia="zh-CN" w:bidi="ar-SA"/>
        </w:rPr>
        <w:t>13</w:t>
      </w:r>
      <w:r>
        <w:rPr>
          <w:rFonts w:hint="eastAsia" w:ascii="Times New Roman" w:hAnsi="Times New Roman" w:eastAsia="仿宋_GB2312" w:cs="Times New Roman"/>
          <w:color w:val="auto"/>
          <w:kern w:val="2"/>
          <w:sz w:val="32"/>
          <w:szCs w:val="32"/>
          <w:highlight w:val="none"/>
          <w:lang w:val="en-US" w:eastAsia="zh-CN" w:bidi="ar-SA"/>
        </w:rPr>
        <w:t>%，主要原因是：2023年度，单位应市委组织部要求，主要领导赴疆外跟班学习次数增多，培训费增加</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.文化旅游体育与传媒支出（类）文化和旅游（款）其他文化和旅游支出（项）:支出决算数为4.00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zh-CN" w:eastAsia="zh-CN" w:bidi="ar-SA"/>
        </w:rPr>
        <w:t>本年度新增了其他文化和旅游支出，增加了文化活动用品支出。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8</w:t>
      </w:r>
      <w:r>
        <w:rPr>
          <w:rFonts w:hint="eastAsia" w:ascii="Times New Roman" w:hAnsi="Times New Roman" w:eastAsia="仿宋_GB2312" w:cs="Times New Roman"/>
          <w:color w:val="auto"/>
          <w:kern w:val="2"/>
          <w:sz w:val="32"/>
          <w:szCs w:val="32"/>
          <w:highlight w:val="none"/>
          <w:lang w:val="en-US" w:eastAsia="zh-CN" w:bidi="ar-SA"/>
        </w:rPr>
        <w:t>.文化旅游体育与传媒支出（类）其他文化旅游体育与传媒支出（款）其他文化旅游体育与传媒支出（项）:支出决算数为0.70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0.70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zh-CN" w:eastAsia="zh-CN" w:bidi="ar-SA"/>
        </w:rPr>
        <w:t>本年度新增</w:t>
      </w:r>
      <w:r>
        <w:rPr>
          <w:rFonts w:hint="eastAsia" w:ascii="Times New Roman" w:hAnsi="Times New Roman" w:eastAsia="仿宋_GB2312" w:cs="Times New Roman"/>
          <w:color w:val="auto"/>
          <w:kern w:val="2"/>
          <w:sz w:val="32"/>
          <w:szCs w:val="32"/>
          <w:highlight w:val="none"/>
          <w:lang w:val="en-US" w:eastAsia="zh-CN" w:bidi="ar-SA"/>
        </w:rPr>
        <w:t>其他文化旅游体育与传媒支出</w:t>
      </w:r>
      <w:r>
        <w:rPr>
          <w:rFonts w:hint="eastAsia" w:eastAsia="仿宋_GB2312" w:cs="Times New Roman"/>
          <w:color w:val="auto"/>
          <w:kern w:val="2"/>
          <w:sz w:val="32"/>
          <w:szCs w:val="32"/>
          <w:highlight w:val="none"/>
          <w:lang w:val="zh-CN" w:eastAsia="zh-CN" w:bidi="ar-SA"/>
        </w:rPr>
        <w:t>，增加了文化活动用品支出。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.社会保障和就业支出（类）行政事业单位养老支出（款）行政单位离退休（项）:支出决算数为1.25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0.02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w:t>
      </w:r>
      <w:r>
        <w:rPr>
          <w:rFonts w:hint="eastAsia" w:eastAsia="仿宋_GB2312" w:cs="Times New Roman"/>
          <w:color w:val="auto"/>
          <w:kern w:val="2"/>
          <w:sz w:val="32"/>
          <w:szCs w:val="32"/>
          <w:highlight w:val="none"/>
          <w:lang w:val="en-US" w:eastAsia="zh-CN" w:bidi="ar-SA"/>
        </w:rPr>
        <w:t>63</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zh-CN" w:eastAsia="zh-CN" w:bidi="ar-SA"/>
        </w:rPr>
        <w:t>本年</w:t>
      </w:r>
      <w:r>
        <w:rPr>
          <w:rFonts w:hint="eastAsia" w:eastAsia="仿宋_GB2312" w:cs="Times New Roman"/>
          <w:color w:val="auto"/>
          <w:kern w:val="2"/>
          <w:sz w:val="32"/>
          <w:szCs w:val="32"/>
          <w:highlight w:val="none"/>
          <w:lang w:val="en-US" w:eastAsia="zh-CN" w:bidi="ar-SA"/>
        </w:rPr>
        <w:t>6月</w:t>
      </w:r>
      <w:r>
        <w:rPr>
          <w:rFonts w:hint="eastAsia" w:eastAsia="仿宋_GB2312" w:cs="Times New Roman"/>
          <w:color w:val="auto"/>
          <w:kern w:val="2"/>
          <w:sz w:val="32"/>
          <w:szCs w:val="32"/>
          <w:highlight w:val="none"/>
          <w:lang w:val="zh-CN" w:eastAsia="zh-CN" w:bidi="ar-SA"/>
        </w:rPr>
        <w:t>新增退休人员一名，</w:t>
      </w:r>
      <w:r>
        <w:rPr>
          <w:rFonts w:hint="eastAsia" w:ascii="Times New Roman" w:hAnsi="Times New Roman" w:eastAsia="仿宋_GB2312" w:cs="Times New Roman"/>
          <w:color w:val="auto"/>
          <w:kern w:val="2"/>
          <w:sz w:val="32"/>
          <w:szCs w:val="32"/>
          <w:highlight w:val="none"/>
          <w:lang w:val="en-US" w:eastAsia="zh-CN" w:bidi="ar-SA"/>
        </w:rPr>
        <w:t>行政单位离退休</w:t>
      </w:r>
      <w:r>
        <w:rPr>
          <w:rFonts w:hint="eastAsia" w:eastAsia="仿宋_GB2312" w:cs="Times New Roman"/>
          <w:color w:val="auto"/>
          <w:kern w:val="2"/>
          <w:sz w:val="32"/>
          <w:szCs w:val="32"/>
          <w:highlight w:val="none"/>
          <w:lang w:val="en-US" w:eastAsia="zh-CN" w:bidi="ar-SA"/>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10</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.社会保障和就业支出（类）行政事业单位养老支出（款）机关事业单位基本养老保险缴费支出（项）:支出决算数为57.25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11.10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24.04%，主要原因是：</w:t>
      </w:r>
      <w:r>
        <w:rPr>
          <w:rFonts w:hint="eastAsia" w:eastAsia="仿宋_GB2312" w:cs="Times New Roman"/>
          <w:color w:val="auto"/>
          <w:kern w:val="2"/>
          <w:sz w:val="32"/>
          <w:szCs w:val="32"/>
          <w:highlight w:val="none"/>
          <w:lang w:val="zh-CN" w:eastAsia="zh-CN" w:bidi="ar-SA"/>
        </w:rPr>
        <w:t>在职人员人数增加，</w:t>
      </w:r>
      <w:r>
        <w:rPr>
          <w:rFonts w:hint="eastAsia" w:ascii="Times New Roman" w:hAnsi="Times New Roman" w:eastAsia="仿宋_GB2312" w:cs="Times New Roman"/>
          <w:color w:val="auto"/>
          <w:kern w:val="2"/>
          <w:sz w:val="32"/>
          <w:szCs w:val="32"/>
          <w:highlight w:val="none"/>
          <w:lang w:val="en-US" w:eastAsia="zh-CN" w:bidi="ar-SA"/>
        </w:rPr>
        <w:t>机关事业单位基本养老保险</w:t>
      </w:r>
      <w:r>
        <w:rPr>
          <w:rFonts w:hint="eastAsia" w:eastAsia="仿宋_GB2312" w:cs="Times New Roman"/>
          <w:color w:val="auto"/>
          <w:kern w:val="2"/>
          <w:sz w:val="32"/>
          <w:szCs w:val="32"/>
          <w:highlight w:val="none"/>
          <w:lang w:val="zh-CN" w:eastAsia="zh-CN" w:bidi="ar-SA"/>
        </w:rPr>
        <w:t>缴费基数增加，</w:t>
      </w:r>
      <w:r>
        <w:rPr>
          <w:rFonts w:hint="eastAsia" w:ascii="Times New Roman" w:hAnsi="Times New Roman" w:eastAsia="仿宋_GB2312" w:cs="Times New Roman"/>
          <w:color w:val="auto"/>
          <w:kern w:val="2"/>
          <w:sz w:val="32"/>
          <w:szCs w:val="32"/>
          <w:highlight w:val="none"/>
          <w:lang w:val="en-US" w:eastAsia="zh-CN" w:bidi="ar-SA"/>
        </w:rPr>
        <w:t>机关事业单位基本养老保险缴费支出</w:t>
      </w:r>
      <w:r>
        <w:rPr>
          <w:rFonts w:hint="eastAsia" w:eastAsia="仿宋_GB2312" w:cs="Times New Roman"/>
          <w:color w:val="auto"/>
          <w:kern w:val="2"/>
          <w:sz w:val="32"/>
          <w:szCs w:val="32"/>
          <w:highlight w:val="none"/>
          <w:lang w:val="zh-CN" w:eastAsia="zh-CN" w:bidi="ar-SA"/>
        </w:rPr>
        <w:t>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11</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.社会保障和就业支出（类）行政事业单位养老支出（款）机关事业单位职业年金缴费支出（项）:支出决算数为5.21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5.21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zh-CN" w:eastAsia="zh-CN" w:bidi="ar-SA"/>
        </w:rPr>
        <w:t>实缴一名退休人员</w:t>
      </w:r>
      <w:r>
        <w:rPr>
          <w:rFonts w:hint="eastAsia" w:ascii="Times New Roman" w:hAnsi="Times New Roman" w:eastAsia="仿宋_GB2312" w:cs="Times New Roman"/>
          <w:color w:val="auto"/>
          <w:kern w:val="2"/>
          <w:sz w:val="32"/>
          <w:szCs w:val="32"/>
          <w:highlight w:val="none"/>
          <w:lang w:val="en-US" w:eastAsia="zh-CN" w:bidi="ar-SA"/>
        </w:rPr>
        <w:t>机关事业单位职业年金</w:t>
      </w:r>
      <w:r>
        <w:rPr>
          <w:rFonts w:hint="eastAsia"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en-US" w:eastAsia="zh-CN" w:bidi="ar-SA"/>
        </w:rPr>
        <w:t>机关事业单位职业年金缴费支出</w:t>
      </w:r>
      <w:r>
        <w:rPr>
          <w:rFonts w:hint="eastAsia" w:eastAsia="仿宋_GB2312" w:cs="Times New Roman"/>
          <w:color w:val="auto"/>
          <w:kern w:val="2"/>
          <w:sz w:val="32"/>
          <w:szCs w:val="32"/>
          <w:highlight w:val="none"/>
          <w:lang w:val="zh-CN" w:eastAsia="zh-CN" w:bidi="ar-SA"/>
        </w:rPr>
        <w:t>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12</w:t>
      </w:r>
      <w:r>
        <w:rPr>
          <w:rFonts w:hint="eastAsia" w:ascii="Times New Roman" w:hAnsi="Times New Roman" w:eastAsia="仿宋_GB2312" w:cs="Times New Roman"/>
          <w:color w:val="auto"/>
          <w:kern w:val="2"/>
          <w:sz w:val="32"/>
          <w:szCs w:val="32"/>
          <w:highlight w:val="none"/>
          <w:lang w:val="en-US" w:eastAsia="zh-CN" w:bidi="ar-SA"/>
        </w:rPr>
        <w:t>.社会保障和就业支出（类）就业补助（款）公益性岗位补贴（项）:支出决算数为105.48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45.37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30.08%，主要原因是：</w:t>
      </w:r>
      <w:r>
        <w:rPr>
          <w:rFonts w:hint="eastAsia" w:eastAsia="仿宋_GB2312" w:cs="Times New Roman"/>
          <w:color w:val="auto"/>
          <w:kern w:val="2"/>
          <w:sz w:val="32"/>
          <w:szCs w:val="32"/>
          <w:highlight w:val="none"/>
          <w:lang w:val="zh-CN" w:eastAsia="zh-CN" w:bidi="ar-SA"/>
        </w:rPr>
        <w:t>本年公益岗辞职人数较多，</w:t>
      </w:r>
      <w:r>
        <w:rPr>
          <w:rFonts w:hint="eastAsia" w:ascii="Times New Roman" w:hAnsi="Times New Roman" w:eastAsia="仿宋_GB2312" w:cs="Times New Roman"/>
          <w:color w:val="auto"/>
          <w:kern w:val="2"/>
          <w:sz w:val="32"/>
          <w:szCs w:val="32"/>
          <w:highlight w:val="none"/>
          <w:lang w:val="en-US" w:eastAsia="zh-CN" w:bidi="ar-SA"/>
        </w:rPr>
        <w:t>公益性岗位补贴</w:t>
      </w:r>
      <w:r>
        <w:rPr>
          <w:rFonts w:hint="eastAsia" w:eastAsia="仿宋_GB2312" w:cs="Times New Roman"/>
          <w:color w:val="auto"/>
          <w:kern w:val="2"/>
          <w:sz w:val="32"/>
          <w:szCs w:val="32"/>
          <w:highlight w:val="none"/>
          <w:lang w:val="en-US" w:eastAsia="zh-CN" w:bidi="ar-SA"/>
        </w:rPr>
        <w:t>支出减少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13</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.卫生健康支出（类）行政事业单位医疗（款）行政单位医疗（项）:支出决算数为26.11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4.04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18.32%，主要原因是：</w:t>
      </w:r>
      <w:r>
        <w:rPr>
          <w:rFonts w:hint="eastAsia" w:eastAsia="仿宋_GB2312" w:cs="Times New Roman"/>
          <w:color w:val="auto"/>
          <w:kern w:val="2"/>
          <w:sz w:val="32"/>
          <w:szCs w:val="32"/>
          <w:highlight w:val="none"/>
          <w:lang w:val="zh-CN" w:eastAsia="zh-CN" w:bidi="ar-SA"/>
        </w:rPr>
        <w:t>在职人员人数增加，医保缴费基数增加，行政单位医疗增加。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14</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.卫生健康支出（类）行政事业单位医疗（款）公务员医疗补助（项）:支出决算数为3.31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7.</w:t>
      </w:r>
      <w:r>
        <w:rPr>
          <w:rFonts w:hint="eastAsia" w:eastAsia="仿宋_GB2312" w:cs="Times New Roman"/>
          <w:color w:val="auto"/>
          <w:kern w:val="2"/>
          <w:sz w:val="32"/>
          <w:szCs w:val="32"/>
          <w:highlight w:val="none"/>
          <w:lang w:val="en-US" w:eastAsia="zh-CN" w:bidi="ar-SA"/>
        </w:rPr>
        <w:t>54</w:t>
      </w:r>
      <w:r>
        <w:rPr>
          <w:rFonts w:hint="eastAsia" w:ascii="Times New Roman" w:hAnsi="Times New Roman" w:eastAsia="仿宋_GB2312" w:cs="Times New Roman"/>
          <w:color w:val="auto"/>
          <w:kern w:val="2"/>
          <w:sz w:val="32"/>
          <w:szCs w:val="32"/>
          <w:highlight w:val="none"/>
          <w:lang w:val="en-US" w:eastAsia="zh-CN" w:bidi="ar-SA"/>
        </w:rPr>
        <w:t>%，主要原因是：根据医保局文件要求，2023年行政退休人员不再缴纳公务员医保</w:t>
      </w:r>
      <w:r>
        <w:rPr>
          <w:rFonts w:hint="eastAsia"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公务员医疗补助</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15</w:t>
      </w:r>
      <w:r>
        <w:rPr>
          <w:rFonts w:hint="eastAsia" w:ascii="Times New Roman" w:hAnsi="Times New Roman" w:eastAsia="仿宋_GB2312" w:cs="Times New Roman"/>
          <w:color w:val="auto"/>
          <w:kern w:val="2"/>
          <w:sz w:val="32"/>
          <w:szCs w:val="32"/>
          <w:highlight w:val="none"/>
          <w:lang w:val="en-US" w:eastAsia="zh-CN" w:bidi="ar-SA"/>
        </w:rPr>
        <w:t>.住房保障支出（类）住房改革支出（款）住房公积金（项）:支出决算数为49.22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12.88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35.44%，主要原因是：</w:t>
      </w:r>
      <w:r>
        <w:rPr>
          <w:rFonts w:hint="eastAsia" w:eastAsia="仿宋_GB2312" w:cs="Times New Roman"/>
          <w:color w:val="auto"/>
          <w:kern w:val="2"/>
          <w:sz w:val="32"/>
          <w:szCs w:val="32"/>
          <w:highlight w:val="none"/>
          <w:lang w:val="zh-CN" w:eastAsia="zh-CN" w:bidi="ar-SA"/>
        </w:rPr>
        <w:t>在职人员人数增加，住房公积金缴费基数增加，</w:t>
      </w:r>
      <w:r>
        <w:rPr>
          <w:rFonts w:hint="eastAsia" w:ascii="Times New Roman" w:hAnsi="Times New Roman" w:eastAsia="仿宋_GB2312" w:cs="Times New Roman"/>
          <w:color w:val="auto"/>
          <w:kern w:val="2"/>
          <w:sz w:val="32"/>
          <w:szCs w:val="32"/>
          <w:highlight w:val="none"/>
          <w:lang w:val="en-US" w:eastAsia="zh-CN" w:bidi="ar-SA"/>
        </w:rPr>
        <w:t>住房公积金</w:t>
      </w:r>
      <w:r>
        <w:rPr>
          <w:rFonts w:hint="eastAsia" w:eastAsia="仿宋_GB2312" w:cs="Times New Roman"/>
          <w:color w:val="auto"/>
          <w:kern w:val="2"/>
          <w:sz w:val="32"/>
          <w:szCs w:val="32"/>
          <w:highlight w:val="none"/>
          <w:lang w:val="en-US" w:eastAsia="zh-CN" w:bidi="ar-SA"/>
        </w:rPr>
        <w:t>缴费</w:t>
      </w:r>
      <w:r>
        <w:rPr>
          <w:rFonts w:hint="eastAsia" w:eastAsia="仿宋_GB2312" w:cs="Times New Roman"/>
          <w:color w:val="auto"/>
          <w:kern w:val="2"/>
          <w:sz w:val="32"/>
          <w:szCs w:val="32"/>
          <w:highlight w:val="none"/>
          <w:lang w:val="zh-CN" w:eastAsia="zh-CN" w:bidi="ar-SA"/>
        </w:rPr>
        <w:t>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16.一般公共服务支出（类）统战事务（款）其他统战事务支出（项）:支出决算数为0.00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1.40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olor w:val="auto"/>
          <w:sz w:val="32"/>
          <w:szCs w:val="32"/>
          <w:highlight w:val="none"/>
        </w:rPr>
        <w:t>本</w:t>
      </w:r>
      <w:r>
        <w:rPr>
          <w:rFonts w:eastAsia="仿宋_GB2312"/>
          <w:color w:val="auto"/>
          <w:sz w:val="32"/>
          <w:szCs w:val="32"/>
          <w:highlight w:val="none"/>
        </w:rPr>
        <w:t>年度</w:t>
      </w:r>
      <w:r>
        <w:rPr>
          <w:rFonts w:hint="eastAsia" w:eastAsia="仿宋_GB2312"/>
          <w:color w:val="auto"/>
          <w:sz w:val="32"/>
          <w:szCs w:val="32"/>
          <w:highlight w:val="none"/>
        </w:rPr>
        <w:t>未安排此科目预算</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17.国防支出（类）国防动员（款）民兵（项）:支出决算数为0.00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0.19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olor w:val="auto"/>
          <w:sz w:val="32"/>
          <w:szCs w:val="32"/>
          <w:highlight w:val="none"/>
        </w:rPr>
        <w:t>本</w:t>
      </w:r>
      <w:r>
        <w:rPr>
          <w:rFonts w:eastAsia="仿宋_GB2312"/>
          <w:color w:val="auto"/>
          <w:sz w:val="32"/>
          <w:szCs w:val="32"/>
          <w:highlight w:val="none"/>
        </w:rPr>
        <w:t>年度</w:t>
      </w:r>
      <w:r>
        <w:rPr>
          <w:rFonts w:hint="eastAsia" w:eastAsia="仿宋_GB2312"/>
          <w:color w:val="auto"/>
          <w:sz w:val="32"/>
          <w:szCs w:val="32"/>
          <w:highlight w:val="none"/>
        </w:rPr>
        <w:t>未安排此科目预算</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18.卫生健康支出（类）公共卫生（款）突发公共卫生事件应急处理（项）:支出决算数为0.00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2.32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olor w:val="auto"/>
          <w:sz w:val="32"/>
          <w:szCs w:val="32"/>
          <w:highlight w:val="none"/>
        </w:rPr>
        <w:t>本</w:t>
      </w:r>
      <w:r>
        <w:rPr>
          <w:rFonts w:eastAsia="仿宋_GB2312"/>
          <w:color w:val="auto"/>
          <w:sz w:val="32"/>
          <w:szCs w:val="32"/>
          <w:highlight w:val="none"/>
        </w:rPr>
        <w:t>年度</w:t>
      </w:r>
      <w:r>
        <w:rPr>
          <w:rFonts w:hint="eastAsia" w:eastAsia="仿宋_GB2312"/>
          <w:color w:val="auto"/>
          <w:sz w:val="32"/>
          <w:szCs w:val="32"/>
          <w:highlight w:val="none"/>
        </w:rPr>
        <w:t>未安排此科目预算</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1,071.60</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1,033.12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医疗费、其他工资福利支出、退休费、生活补助、医疗费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38.48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办公费、水费、电费、邮电费、取暖费、租赁费、培训费、劳务费、工会经费、福利费、其他交通费用</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hAnsi="Times New Roman" w:eastAsia="仿宋_GB2312" w:cs="Times New Roman"/>
          <w:color w:val="auto"/>
          <w:sz w:val="32"/>
          <w:szCs w:val="32"/>
          <w:highlight w:val="none"/>
          <w:lang w:eastAsia="zh-CN"/>
        </w:rPr>
        <w:t>我单位</w:t>
      </w:r>
      <w:r>
        <w:rPr>
          <w:rFonts w:hint="default" w:ascii="仿宋_GB2312" w:hAnsi="Times New Roman" w:eastAsia="仿宋_GB2312" w:cs="Times New Roman"/>
          <w:color w:val="auto"/>
          <w:sz w:val="32"/>
          <w:szCs w:val="32"/>
          <w:highlight w:val="none"/>
          <w:lang w:val="en-US" w:eastAsia="zh-CN"/>
        </w:rPr>
        <w:t>无</w:t>
      </w:r>
      <w:r>
        <w:rPr>
          <w:rFonts w:hint="eastAsia" w:ascii="仿宋_GB2312" w:eastAsia="仿宋_GB2312"/>
          <w:color w:val="auto"/>
          <w:sz w:val="32"/>
          <w:szCs w:val="32"/>
          <w:highlight w:val="none"/>
          <w:lang w:val="zh-CN" w:eastAsia="zh-CN"/>
        </w:rPr>
        <w:t>“三公”经费</w:t>
      </w:r>
      <w:r>
        <w:rPr>
          <w:rFonts w:hint="eastAsia" w:ascii="仿宋_GB2312" w:hAnsi="Times New Roman" w:eastAsia="仿宋_GB2312" w:cs="Times New Roman"/>
          <w:color w:val="auto"/>
          <w:sz w:val="32"/>
          <w:szCs w:val="32"/>
          <w:highlight w:val="none"/>
          <w:lang w:val="en-US" w:eastAsia="zh-CN"/>
        </w:rPr>
        <w:t>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hAnsi="Times New Roman" w:eastAsia="仿宋_GB2312" w:cs="Times New Roman"/>
          <w:color w:val="auto"/>
          <w:sz w:val="32"/>
          <w:szCs w:val="32"/>
          <w:highlight w:val="none"/>
          <w:lang w:eastAsia="zh-CN"/>
        </w:rPr>
        <w:t>我单位</w:t>
      </w:r>
      <w:r>
        <w:rPr>
          <w:rFonts w:hint="default" w:ascii="仿宋_GB2312" w:hAnsi="Times New Roman" w:eastAsia="仿宋_GB2312" w:cs="Times New Roman"/>
          <w:color w:val="auto"/>
          <w:sz w:val="32"/>
          <w:szCs w:val="32"/>
          <w:highlight w:val="none"/>
          <w:lang w:val="en-US" w:eastAsia="zh-CN"/>
        </w:rPr>
        <w:t>无因公出国（境）</w:t>
      </w:r>
      <w:r>
        <w:rPr>
          <w:rFonts w:hint="eastAsia" w:ascii="仿宋_GB2312" w:hAnsi="Times New Roman" w:eastAsia="仿宋_GB2312" w:cs="Times New Roman"/>
          <w:color w:val="auto"/>
          <w:sz w:val="32"/>
          <w:szCs w:val="32"/>
          <w:highlight w:val="none"/>
          <w:lang w:val="en-US" w:eastAsia="zh-CN"/>
        </w:rPr>
        <w:t>支出</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hAnsi="Times New Roman" w:eastAsia="仿宋_GB2312" w:cs="Times New Roman"/>
          <w:color w:val="auto"/>
          <w:sz w:val="32"/>
          <w:szCs w:val="32"/>
          <w:highlight w:val="none"/>
          <w:lang w:eastAsia="zh-CN"/>
        </w:rPr>
        <w:t>我单位</w:t>
      </w:r>
      <w:r>
        <w:rPr>
          <w:rFonts w:hint="default" w:ascii="仿宋_GB2312" w:hAnsi="Times New Roman" w:eastAsia="仿宋_GB2312" w:cs="Times New Roman"/>
          <w:color w:val="auto"/>
          <w:sz w:val="32"/>
          <w:szCs w:val="32"/>
          <w:highlight w:val="none"/>
          <w:lang w:val="en-US" w:eastAsia="zh-CN"/>
        </w:rPr>
        <w:t>无</w:t>
      </w:r>
      <w:r>
        <w:rPr>
          <w:rFonts w:hint="eastAsia" w:ascii="仿宋_GB2312" w:eastAsia="仿宋_GB2312"/>
          <w:color w:val="auto"/>
          <w:sz w:val="32"/>
          <w:szCs w:val="32"/>
          <w:highlight w:val="none"/>
          <w:lang w:val="zh-CN" w:eastAsia="zh-CN"/>
        </w:rPr>
        <w:t>公务用车购置及运行维护费支出；公务接待费支出0.00万元，占0.00%，比上年增加0.00万元，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hAnsi="Times New Roman" w:eastAsia="仿宋_GB2312" w:cs="Times New Roman"/>
          <w:color w:val="auto"/>
          <w:sz w:val="32"/>
          <w:szCs w:val="32"/>
          <w:highlight w:val="none"/>
          <w:lang w:eastAsia="zh-CN"/>
        </w:rPr>
        <w:t>我单位</w:t>
      </w:r>
      <w:r>
        <w:rPr>
          <w:rFonts w:hint="default" w:ascii="仿宋_GB2312" w:hAnsi="Times New Roman" w:eastAsia="仿宋_GB2312" w:cs="Times New Roman"/>
          <w:color w:val="auto"/>
          <w:sz w:val="32"/>
          <w:szCs w:val="32"/>
          <w:highlight w:val="none"/>
          <w:lang w:val="en-US" w:eastAsia="zh-CN"/>
        </w:rPr>
        <w:t>无</w:t>
      </w:r>
      <w:r>
        <w:rPr>
          <w:rFonts w:hint="eastAsia" w:ascii="仿宋_GB2312" w:eastAsia="仿宋_GB2312"/>
          <w:color w:val="auto"/>
          <w:sz w:val="32"/>
          <w:szCs w:val="32"/>
          <w:highlight w:val="none"/>
          <w:lang w:val="zh-CN" w:eastAsia="zh-CN"/>
        </w:rPr>
        <w:t>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ind w:firstLine="640" w:firstLineChars="200"/>
        <w:jc w:val="left"/>
        <w:rPr>
          <w:rFonts w:hint="default" w:ascii="仿宋_GB2312" w:hAnsi="Times New Roman" w:eastAsia="仿宋_GB2312" w:cs="Times New Roman"/>
          <w:color w:val="auto"/>
          <w:sz w:val="32"/>
          <w:szCs w:val="32"/>
          <w:highlight w:val="none"/>
          <w:lang w:eastAsia="zh-CN"/>
        </w:rPr>
      </w:pPr>
      <w:r>
        <w:rPr>
          <w:rFonts w:hint="eastAsia" w:ascii="仿宋_GB2312" w:eastAsia="仿宋_GB2312"/>
          <w:color w:val="auto"/>
          <w:sz w:val="32"/>
          <w:szCs w:val="32"/>
          <w:highlight w:val="none"/>
          <w:lang w:val="zh-CN" w:eastAsia="zh-CN"/>
        </w:rPr>
        <w:t>因公出国（境）费支出0.00万元，开支内容包括：</w:t>
      </w:r>
      <w:r>
        <w:rPr>
          <w:rFonts w:hint="default" w:ascii="仿宋_GB2312" w:hAnsi="Times New Roman" w:eastAsia="仿宋_GB2312" w:cs="Times New Roman"/>
          <w:color w:val="auto"/>
          <w:sz w:val="32"/>
          <w:szCs w:val="32"/>
          <w:highlight w:val="none"/>
          <w:lang w:eastAsia="zh-CN"/>
        </w:rPr>
        <w:t>本年未安排因公出国（境）费支出，无开支内容。单位全年安排的因公出国（境）团组0个，因公出国（境）0人次。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color w:val="auto"/>
          <w:sz w:val="32"/>
          <w:szCs w:val="32"/>
          <w:lang w:val="zh-CN"/>
        </w:rPr>
        <w:t>我单位本年无公务用车运行维护费支出，无开支内容</w:t>
      </w:r>
      <w:r>
        <w:rPr>
          <w:rFonts w:hint="eastAsia" w:ascii="仿宋_GB2312" w:eastAsia="仿宋_GB2312"/>
          <w:color w:val="auto"/>
          <w:sz w:val="32"/>
          <w:szCs w:val="32"/>
          <w:highlight w:val="none"/>
          <w:lang w:val="zh-CN" w:eastAsia="zh-CN"/>
        </w:rPr>
        <w:t>。公务用车购置数0辆，公务用车保有量</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val="zh-CN" w:eastAsia="zh-CN"/>
        </w:rPr>
        <w:t>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原因是：无差异。</w:t>
      </w:r>
    </w:p>
    <w:p>
      <w:pPr>
        <w:ind w:firstLine="640" w:firstLineChars="200"/>
        <w:jc w:val="left"/>
        <w:rPr>
          <w:rFonts w:ascii="仿宋_GB2312" w:eastAsia="仿宋_GB2312"/>
          <w:color w:val="auto"/>
          <w:sz w:val="32"/>
          <w:szCs w:val="32"/>
          <w:lang w:val="zh-CN"/>
        </w:rPr>
      </w:pPr>
      <w:r>
        <w:rPr>
          <w:rFonts w:hint="eastAsia" w:ascii="仿宋_GB2312" w:eastAsia="仿宋_GB2312"/>
          <w:color w:val="auto"/>
          <w:sz w:val="32"/>
          <w:szCs w:val="32"/>
          <w:lang w:val="zh-CN"/>
        </w:rPr>
        <w:t>公务接待费0.00万元，</w:t>
      </w:r>
      <w:r>
        <w:rPr>
          <w:rFonts w:hint="eastAsia" w:ascii="仿宋_GB2312" w:eastAsia="仿宋_GB2312"/>
          <w:color w:val="auto"/>
          <w:sz w:val="32"/>
          <w:szCs w:val="32"/>
        </w:rPr>
        <w:t>开支内容包括</w:t>
      </w:r>
      <w:bookmarkStart w:id="18" w:name="_Hlk174748472"/>
      <w:r>
        <w:rPr>
          <w:rFonts w:hint="eastAsia" w:ascii="仿宋_GB2312" w:eastAsia="仿宋_GB2312"/>
          <w:color w:val="auto"/>
          <w:sz w:val="32"/>
          <w:szCs w:val="32"/>
          <w:lang w:eastAsia="zh-CN"/>
        </w:rPr>
        <w:t>：</w:t>
      </w:r>
      <w:r>
        <w:rPr>
          <w:rFonts w:hint="eastAsia" w:ascii="仿宋_GB2312" w:eastAsia="仿宋_GB2312"/>
          <w:color w:val="auto"/>
          <w:sz w:val="32"/>
          <w:szCs w:val="32"/>
        </w:rPr>
        <w:t>我单位本年无公务接待费支出</w:t>
      </w:r>
      <w:bookmarkEnd w:id="18"/>
      <w:r>
        <w:rPr>
          <w:rFonts w:hint="eastAsia" w:ascii="仿宋_GB2312" w:eastAsia="仿宋_GB2312"/>
          <w:color w:val="auto"/>
          <w:sz w:val="32"/>
          <w:szCs w:val="32"/>
        </w:rPr>
        <w:t>，无开支内容。</w:t>
      </w:r>
      <w:r>
        <w:rPr>
          <w:rFonts w:ascii="仿宋_GB2312" w:eastAsia="仿宋_GB2312"/>
          <w:color w:val="auto"/>
          <w:sz w:val="32"/>
          <w:szCs w:val="32"/>
        </w:rPr>
        <w:t>单位全年安排的国内公务接待0批次，0人次</w:t>
      </w:r>
      <w:r>
        <w:rPr>
          <w:rFonts w:hint="eastAsia" w:ascii="仿宋_GB2312" w:eastAsia="仿宋_GB2312"/>
          <w:color w:val="auto"/>
          <w:sz w:val="32"/>
          <w:szCs w:val="32"/>
          <w:lang w:val="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s="Times New Roman"/>
          <w:color w:val="auto"/>
          <w:sz w:val="32"/>
          <w:szCs w:val="32"/>
          <w:lang w:val="en-US" w:eastAsia="zh-CN"/>
        </w:rPr>
        <w:t>我单位无</w:t>
      </w:r>
      <w:r>
        <w:rPr>
          <w:rFonts w:hint="eastAsia" w:ascii="仿宋_GB2312" w:eastAsia="仿宋_GB2312"/>
          <w:color w:val="auto"/>
          <w:sz w:val="32"/>
          <w:szCs w:val="32"/>
          <w:highlight w:val="none"/>
          <w:lang w:val="zh-CN" w:eastAsia="zh-CN"/>
        </w:rPr>
        <w:t>“三公”经费支出。其中：因公出国（境）费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s="Times New Roman"/>
          <w:color w:val="auto"/>
          <w:sz w:val="32"/>
          <w:szCs w:val="32"/>
          <w:lang w:val="en-US" w:eastAsia="zh-CN"/>
        </w:rPr>
        <w:t>我单位无</w:t>
      </w:r>
      <w:r>
        <w:rPr>
          <w:rFonts w:hint="eastAsia" w:ascii="仿宋_GB2312" w:eastAsia="仿宋_GB2312"/>
          <w:color w:val="auto"/>
          <w:sz w:val="32"/>
          <w:szCs w:val="32"/>
          <w:highlight w:val="none"/>
          <w:lang w:val="zh-CN" w:eastAsia="zh-CN"/>
        </w:rPr>
        <w:t>因公出国（境）费支出；公务用车购置费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s="Times New Roman"/>
          <w:color w:val="auto"/>
          <w:sz w:val="32"/>
          <w:szCs w:val="32"/>
          <w:lang w:val="en-US" w:eastAsia="zh-CN"/>
        </w:rPr>
        <w:t>我单位无</w:t>
      </w:r>
      <w:r>
        <w:rPr>
          <w:rFonts w:hint="eastAsia" w:ascii="仿宋_GB2312" w:eastAsia="仿宋_GB2312"/>
          <w:color w:val="auto"/>
          <w:sz w:val="32"/>
          <w:szCs w:val="32"/>
          <w:highlight w:val="none"/>
          <w:lang w:val="zh-CN" w:eastAsia="zh-CN"/>
        </w:rPr>
        <w:t>公务用车购置费支出；公务用车运行费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s="Times New Roman"/>
          <w:color w:val="auto"/>
          <w:sz w:val="32"/>
          <w:szCs w:val="32"/>
          <w:lang w:val="en-US" w:eastAsia="zh-CN"/>
        </w:rPr>
        <w:t>我单位无</w:t>
      </w:r>
      <w:r>
        <w:rPr>
          <w:rFonts w:hint="eastAsia" w:ascii="仿宋_GB2312" w:eastAsia="仿宋_GB2312"/>
          <w:color w:val="auto"/>
          <w:sz w:val="32"/>
          <w:szCs w:val="32"/>
          <w:highlight w:val="none"/>
          <w:lang w:val="zh-CN" w:eastAsia="zh-CN"/>
        </w:rPr>
        <w:t>公务用车运行费费支出；公务接待费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s="Times New Roman"/>
          <w:color w:val="auto"/>
          <w:sz w:val="32"/>
          <w:szCs w:val="32"/>
          <w:lang w:val="en-US" w:eastAsia="zh-CN"/>
        </w:rPr>
        <w:t>我单位无</w:t>
      </w:r>
      <w:r>
        <w:rPr>
          <w:rFonts w:hint="eastAsia" w:ascii="仿宋_GB2312" w:eastAsia="仿宋_GB2312"/>
          <w:color w:val="auto"/>
          <w:sz w:val="32"/>
          <w:szCs w:val="32"/>
          <w:highlight w:val="none"/>
          <w:lang w:val="zh-CN" w:eastAsia="zh-CN"/>
        </w:rPr>
        <w:t>公务接待费支出。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9" w:name="_Toc7927"/>
      <w:bookmarkStart w:id="20"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9"/>
      <w:bookmarkEnd w:id="2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政府性基金预算</w:t>
      </w:r>
      <w:r>
        <w:rPr>
          <w:rFonts w:hint="eastAsia" w:ascii="Times New Roman" w:hAnsi="Times New Roman" w:eastAsia="仿宋_GB2312" w:cs="Times New Roman"/>
          <w:color w:val="auto"/>
          <w:sz w:val="32"/>
          <w:szCs w:val="32"/>
          <w:highlight w:val="none"/>
          <w:lang w:val="en-US" w:eastAsia="zh-CN"/>
        </w:rPr>
        <w:t>财政拨款</w:t>
      </w:r>
      <w:r>
        <w:rPr>
          <w:rFonts w:hint="eastAsia" w:ascii="Times New Roman" w:hAnsi="Times New Roman" w:eastAsia="仿宋_GB2312" w:cs="Times New Roman"/>
          <w:color w:val="auto"/>
          <w:sz w:val="32"/>
          <w:szCs w:val="32"/>
          <w:highlight w:val="none"/>
          <w:lang w:val="zh-CN"/>
        </w:rPr>
        <w:t>收入</w:t>
      </w:r>
      <w:r>
        <w:rPr>
          <w:rFonts w:hint="eastAsia" w:ascii="Times New Roman" w:hAnsi="Times New Roman" w:eastAsia="仿宋_GB2312" w:cs="Times New Roman"/>
          <w:color w:val="auto"/>
          <w:sz w:val="32"/>
          <w:szCs w:val="32"/>
          <w:highlight w:val="none"/>
          <w:lang w:val="en-US" w:eastAsia="zh-CN"/>
        </w:rPr>
        <w:t>总计6.00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其中：年初结转和结余0.00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本年收入6.00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rPr>
        <w:t>政府性基金预算财政拨款支出</w:t>
      </w:r>
      <w:r>
        <w:rPr>
          <w:rFonts w:hint="eastAsia" w:ascii="Times New Roman" w:hAnsi="Times New Roman" w:eastAsia="仿宋_GB2312" w:cs="Times New Roman"/>
          <w:color w:val="auto"/>
          <w:sz w:val="32"/>
          <w:szCs w:val="32"/>
          <w:highlight w:val="none"/>
          <w:lang w:val="en-US" w:eastAsia="zh-CN"/>
        </w:rPr>
        <w:t>总计6.00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其中：年末结转和结余0.00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本年支出6.00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rPr>
        <w:t>政府性基金预算财政拨款</w:t>
      </w:r>
      <w:r>
        <w:rPr>
          <w:rFonts w:hint="eastAsia" w:ascii="Times New Roman" w:hAnsi="Times New Roman" w:eastAsia="仿宋_GB2312" w:cs="Times New Roman"/>
          <w:color w:val="auto"/>
          <w:sz w:val="32"/>
          <w:szCs w:val="32"/>
          <w:highlight w:val="none"/>
          <w:lang w:val="en-US" w:eastAsia="zh-CN"/>
        </w:rPr>
        <w:t>收入支出</w:t>
      </w:r>
      <w:r>
        <w:rPr>
          <w:rFonts w:hint="eastAsia" w:ascii="Times New Roman" w:hAnsi="Times New Roman" w:eastAsia="仿宋_GB2312" w:cs="Times New Roman"/>
          <w:color w:val="auto"/>
          <w:sz w:val="32"/>
          <w:szCs w:val="32"/>
          <w:highlight w:val="none"/>
          <w:lang w:val="zh-CN"/>
        </w:rPr>
        <w:t>与上年相比，增加6.00万元</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rPr>
        <w:t>增长100.00%</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主要原因是</w:t>
      </w:r>
      <w:r>
        <w:rPr>
          <w:rFonts w:hint="eastAsia" w:ascii="Times New Roman" w:hAnsi="Times New Roman" w:eastAsia="仿宋_GB2312" w:cs="Times New Roman"/>
          <w:color w:val="auto"/>
          <w:sz w:val="32"/>
          <w:szCs w:val="32"/>
          <w:highlight w:val="none"/>
          <w:lang w:val="zh-CN"/>
        </w:rPr>
        <w:t>：</w:t>
      </w:r>
      <w:r>
        <w:rPr>
          <w:rFonts w:hint="eastAsia" w:eastAsia="仿宋_GB2312" w:cs="Times New Roman"/>
          <w:color w:val="auto"/>
          <w:sz w:val="32"/>
          <w:szCs w:val="32"/>
          <w:highlight w:val="none"/>
          <w:lang w:val="en-US" w:eastAsia="zh-CN"/>
        </w:rPr>
        <w:t>本年度支出春节前农民工工资6万元</w:t>
      </w:r>
      <w:r>
        <w:rPr>
          <w:rFonts w:hint="eastAsia" w:ascii="Times New Roman" w:hAnsi="Times New Roman" w:eastAsia="仿宋_GB2312" w:cs="Times New Roman"/>
          <w:color w:val="auto"/>
          <w:sz w:val="32"/>
          <w:szCs w:val="32"/>
          <w:highlight w:val="none"/>
          <w:lang w:val="zh-CN"/>
        </w:rPr>
        <w:t>。与</w:t>
      </w:r>
      <w:r>
        <w:rPr>
          <w:rFonts w:hint="eastAsia" w:ascii="Times New Roman" w:hAnsi="Times New Roman" w:eastAsia="仿宋_GB2312" w:cs="Times New Roman"/>
          <w:color w:val="auto"/>
          <w:sz w:val="32"/>
          <w:szCs w:val="32"/>
          <w:highlight w:val="none"/>
          <w:lang w:val="zh-CN" w:eastAsia="zh-CN"/>
        </w:rPr>
        <w:t>年初预算</w:t>
      </w:r>
      <w:r>
        <w:rPr>
          <w:rFonts w:hint="eastAsia" w:ascii="Times New Roman" w:hAnsi="Times New Roman" w:eastAsia="仿宋_GB2312" w:cs="Times New Roman"/>
          <w:color w:val="auto"/>
          <w:sz w:val="32"/>
          <w:szCs w:val="32"/>
          <w:highlight w:val="none"/>
          <w:lang w:val="zh-CN"/>
        </w:rPr>
        <w:t>相比</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年初预算数</w:t>
      </w:r>
      <w:r>
        <w:rPr>
          <w:rFonts w:hint="eastAsia" w:ascii="Times New Roman" w:hAnsi="Times New Roman" w:eastAsia="仿宋_GB2312" w:cs="Times New Roman"/>
          <w:color w:val="auto"/>
          <w:sz w:val="32"/>
          <w:szCs w:val="32"/>
          <w:highlight w:val="none"/>
          <w:lang w:val="en-US" w:eastAsia="zh-CN"/>
        </w:rPr>
        <w:t>0.00</w:t>
      </w:r>
      <w:r>
        <w:rPr>
          <w:rFonts w:hint="eastAsia" w:ascii="Times New Roman" w:hAnsi="Times New Roman" w:eastAsia="仿宋_GB2312" w:cs="Times New Roman"/>
          <w:color w:val="auto"/>
          <w:sz w:val="32"/>
          <w:szCs w:val="32"/>
          <w:highlight w:val="none"/>
          <w:lang w:val="zh-CN"/>
        </w:rPr>
        <w:t>万元，决算数</w:t>
      </w:r>
      <w:r>
        <w:rPr>
          <w:rFonts w:hint="eastAsia" w:ascii="Times New Roman" w:hAnsi="Times New Roman" w:eastAsia="仿宋_GB2312" w:cs="Times New Roman"/>
          <w:color w:val="auto"/>
          <w:sz w:val="30"/>
          <w:szCs w:val="30"/>
          <w:highlight w:val="none"/>
          <w:lang w:val="en-US" w:eastAsia="zh-CN"/>
        </w:rPr>
        <w:t>6.00</w:t>
      </w:r>
      <w:r>
        <w:rPr>
          <w:rFonts w:hint="eastAsia" w:ascii="Times New Roman" w:hAnsi="Times New Roman" w:eastAsia="仿宋_GB2312" w:cs="Times New Roman"/>
          <w:color w:val="auto"/>
          <w:sz w:val="32"/>
          <w:szCs w:val="32"/>
          <w:highlight w:val="none"/>
          <w:lang w:val="zh-CN"/>
        </w:rPr>
        <w:t>万元，预决算差异率</w:t>
      </w:r>
      <w:r>
        <w:rPr>
          <w:rFonts w:hint="eastAsia" w:eastAsia="仿宋_GB2312" w:cs="Times New Roman"/>
          <w:color w:val="auto"/>
          <w:sz w:val="32"/>
          <w:szCs w:val="32"/>
          <w:highlight w:val="none"/>
          <w:lang w:val="en-US" w:eastAsia="zh-CN"/>
        </w:rPr>
        <w:t>100.00</w:t>
      </w:r>
      <w:r>
        <w:rPr>
          <w:rFonts w:hint="eastAsia" w:ascii="Times New Roman" w:hAnsi="Times New Roman" w:eastAsia="仿宋_GB2312" w:cs="Times New Roman"/>
          <w:color w:val="auto"/>
          <w:sz w:val="32"/>
          <w:szCs w:val="32"/>
          <w:highlight w:val="none"/>
          <w:lang w:val="zh-CN" w:eastAsia="zh-CN"/>
        </w:rPr>
        <w:t>%，主要原因是：</w:t>
      </w:r>
      <w:r>
        <w:rPr>
          <w:rFonts w:hint="eastAsia" w:eastAsia="仿宋_GB2312" w:cs="Times New Roman"/>
          <w:color w:val="auto"/>
          <w:sz w:val="32"/>
          <w:szCs w:val="32"/>
          <w:highlight w:val="none"/>
          <w:lang w:val="en-US" w:eastAsia="zh-CN"/>
        </w:rPr>
        <w:t>本年度支出春节前农民工工资6万元</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rPr>
        <w:t>政府性基金预算财政拨款支出</w:t>
      </w:r>
      <w:r>
        <w:rPr>
          <w:rFonts w:hint="eastAsia" w:ascii="Times New Roman" w:hAnsi="Times New Roman" w:eastAsia="仿宋_GB2312" w:cs="Times New Roman"/>
          <w:color w:val="auto"/>
          <w:sz w:val="32"/>
          <w:szCs w:val="32"/>
          <w:highlight w:val="none"/>
          <w:lang w:val="zh-CN" w:eastAsia="zh-CN"/>
        </w:rPr>
        <w:t>6.00</w:t>
      </w:r>
      <w:r>
        <w:rPr>
          <w:rFonts w:hint="eastAsia" w:ascii="Times New Roman" w:hAnsi="Times New Roman" w:eastAsia="仿宋_GB2312" w:cs="Times New Roman"/>
          <w:color w:val="auto"/>
          <w:sz w:val="32"/>
          <w:szCs w:val="32"/>
          <w:highlight w:val="none"/>
          <w:lang w:val="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rPr>
        <w:t>1.城乡社区支出（类）国有土地使用权出让收入安排的支出（款）其他国有土地使用权出让收入安排的支出（项）:支出决算数为6.00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，比上年决算</w:t>
      </w:r>
      <w:r>
        <w:rPr>
          <w:rFonts w:hint="eastAsia" w:ascii="Times New Roman" w:hAnsi="Times New Roman" w:eastAsia="仿宋_GB2312" w:cs="Times New Roman"/>
          <w:color w:val="auto"/>
          <w:sz w:val="32"/>
          <w:szCs w:val="32"/>
          <w:highlight w:val="none"/>
          <w:lang w:val="en-US" w:eastAsia="zh-CN"/>
        </w:rPr>
        <w:t>增加</w:t>
      </w:r>
      <w:r>
        <w:rPr>
          <w:rFonts w:hint="eastAsia" w:ascii="Times New Roman" w:hAnsi="Times New Roman" w:eastAsia="仿宋_GB2312" w:cs="Times New Roman"/>
          <w:color w:val="auto"/>
          <w:sz w:val="32"/>
          <w:szCs w:val="32"/>
          <w:highlight w:val="none"/>
          <w:lang w:val="zh-CN"/>
        </w:rPr>
        <w:t>6.00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en-US" w:eastAsia="zh-CN"/>
        </w:rPr>
        <w:t>增长</w:t>
      </w:r>
      <w:r>
        <w:rPr>
          <w:rFonts w:hint="eastAsia" w:ascii="Times New Roman" w:hAnsi="Times New Roman" w:eastAsia="仿宋_GB2312" w:cs="Times New Roman"/>
          <w:color w:val="auto"/>
          <w:sz w:val="32"/>
          <w:szCs w:val="32"/>
          <w:highlight w:val="none"/>
          <w:lang w:val="zh-CN"/>
        </w:rPr>
        <w:t>100%，主要原因是：</w:t>
      </w:r>
      <w:r>
        <w:rPr>
          <w:rFonts w:hint="eastAsia" w:eastAsia="仿宋_GB2312" w:cs="Times New Roman"/>
          <w:color w:val="auto"/>
          <w:sz w:val="32"/>
          <w:szCs w:val="32"/>
          <w:highlight w:val="none"/>
          <w:lang w:val="en-US" w:eastAsia="zh-CN"/>
        </w:rPr>
        <w:t>上年度无此项预算安排，本年度安排此项预算，相关支出增加</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2023年度国有资本经营预算</w:t>
      </w:r>
      <w:r>
        <w:rPr>
          <w:rFonts w:hint="eastAsia" w:ascii="Times New Roman" w:hAnsi="Times New Roman" w:eastAsia="仿宋_GB2312" w:cs="Times New Roman"/>
          <w:color w:val="auto"/>
          <w:sz w:val="32"/>
          <w:szCs w:val="32"/>
          <w:highlight w:val="none"/>
          <w:lang w:val="en-US" w:eastAsia="zh-CN"/>
        </w:rPr>
        <w:t>财政拨款</w:t>
      </w:r>
      <w:r>
        <w:rPr>
          <w:rFonts w:hint="eastAsia" w:ascii="Times New Roman" w:hAnsi="Times New Roman" w:eastAsia="仿宋_GB2312" w:cs="Times New Roman"/>
          <w:color w:val="auto"/>
          <w:sz w:val="32"/>
          <w:szCs w:val="32"/>
          <w:highlight w:val="none"/>
          <w:lang w:val="zh-CN" w:eastAsia="zh-CN"/>
        </w:rPr>
        <w:t>收入</w:t>
      </w:r>
      <w:r>
        <w:rPr>
          <w:rFonts w:hint="eastAsia" w:ascii="Times New Roman" w:hAnsi="Times New Roman" w:eastAsia="仿宋_GB2312" w:cs="Times New Roman"/>
          <w:color w:val="auto"/>
          <w:sz w:val="32"/>
          <w:szCs w:val="32"/>
          <w:highlight w:val="none"/>
          <w:lang w:val="en-US" w:eastAsia="zh-CN"/>
        </w:rPr>
        <w:t>总计0.66</w:t>
      </w:r>
      <w:r>
        <w:rPr>
          <w:rFonts w:hint="eastAsia" w:ascii="Times New Roman" w:hAnsi="Times New Roman" w:eastAsia="仿宋_GB2312" w:cs="Times New Roman"/>
          <w:color w:val="auto"/>
          <w:sz w:val="32"/>
          <w:szCs w:val="32"/>
          <w:highlight w:val="none"/>
          <w:lang w:val="zh-CN" w:eastAsia="zh-CN"/>
        </w:rPr>
        <w:t>万元，</w:t>
      </w:r>
      <w:r>
        <w:rPr>
          <w:rFonts w:hint="eastAsia" w:ascii="Times New Roman" w:hAnsi="Times New Roman" w:eastAsia="仿宋_GB2312" w:cs="Times New Roman"/>
          <w:color w:val="auto"/>
          <w:sz w:val="32"/>
          <w:szCs w:val="32"/>
          <w:highlight w:val="none"/>
          <w:lang w:val="en-US" w:eastAsia="zh-CN"/>
        </w:rPr>
        <w:t>其中：年初结转和结余</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en-US" w:eastAsia="zh-CN"/>
        </w:rPr>
        <w:t>本年收入</w:t>
      </w:r>
      <w:r>
        <w:rPr>
          <w:rFonts w:hint="eastAsia" w:ascii="Times New Roman" w:hAnsi="Times New Roman" w:eastAsia="仿宋_GB2312" w:cs="Times New Roman"/>
          <w:color w:val="auto"/>
          <w:sz w:val="32"/>
          <w:szCs w:val="32"/>
          <w:highlight w:val="none"/>
          <w:lang w:val="zh-CN" w:eastAsia="zh-CN"/>
        </w:rPr>
        <w:t>0.66万元。国有资本经营预算财政拨款支出</w:t>
      </w:r>
      <w:r>
        <w:rPr>
          <w:rFonts w:hint="eastAsia" w:ascii="Times New Roman" w:hAnsi="Times New Roman" w:eastAsia="仿宋_GB2312" w:cs="Times New Roman"/>
          <w:color w:val="auto"/>
          <w:sz w:val="32"/>
          <w:szCs w:val="32"/>
          <w:highlight w:val="none"/>
          <w:lang w:val="en-US" w:eastAsia="zh-CN"/>
        </w:rPr>
        <w:t>总计0.66</w:t>
      </w:r>
      <w:r>
        <w:rPr>
          <w:rFonts w:hint="eastAsia" w:ascii="Times New Roman" w:hAnsi="Times New Roman" w:eastAsia="仿宋_GB2312" w:cs="Times New Roman"/>
          <w:color w:val="auto"/>
          <w:sz w:val="32"/>
          <w:szCs w:val="32"/>
          <w:highlight w:val="none"/>
          <w:lang w:val="zh-CN" w:eastAsia="zh-CN"/>
        </w:rPr>
        <w:t>万元，</w:t>
      </w:r>
      <w:r>
        <w:rPr>
          <w:rFonts w:hint="eastAsia" w:ascii="Times New Roman" w:hAnsi="Times New Roman" w:eastAsia="仿宋_GB2312" w:cs="Times New Roman"/>
          <w:color w:val="auto"/>
          <w:sz w:val="32"/>
          <w:szCs w:val="32"/>
          <w:highlight w:val="none"/>
          <w:lang w:val="en-US" w:eastAsia="zh-CN"/>
        </w:rPr>
        <w:t>其中：年末结转和结余</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en-US" w:eastAsia="zh-CN"/>
        </w:rPr>
        <w:t>本年支出</w:t>
      </w:r>
      <w:r>
        <w:rPr>
          <w:rFonts w:hint="eastAsia" w:ascii="Times New Roman" w:hAnsi="Times New Roman" w:eastAsia="仿宋_GB2312" w:cs="Times New Roman"/>
          <w:color w:val="auto"/>
          <w:sz w:val="32"/>
          <w:szCs w:val="32"/>
          <w:highlight w:val="none"/>
          <w:lang w:val="zh-CN" w:eastAsia="zh-CN"/>
        </w:rPr>
        <w:t>0.66万元。</w:t>
      </w:r>
    </w:p>
    <w:p>
      <w:pPr>
        <w:ind w:firstLine="640" w:firstLineChars="200"/>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国有资本经营预算财政拨款</w:t>
      </w:r>
      <w:r>
        <w:rPr>
          <w:rFonts w:hint="eastAsia" w:ascii="Times New Roman" w:hAnsi="Times New Roman" w:eastAsia="仿宋_GB2312" w:cs="Times New Roman"/>
          <w:color w:val="auto"/>
          <w:sz w:val="32"/>
          <w:szCs w:val="32"/>
          <w:highlight w:val="none"/>
          <w:lang w:val="en-US" w:eastAsia="zh-CN"/>
        </w:rPr>
        <w:t>收入支出</w:t>
      </w:r>
      <w:r>
        <w:rPr>
          <w:rFonts w:hint="eastAsia" w:ascii="Times New Roman" w:hAnsi="Times New Roman" w:eastAsia="仿宋_GB2312" w:cs="Times New Roman"/>
          <w:color w:val="auto"/>
          <w:sz w:val="32"/>
          <w:szCs w:val="32"/>
          <w:highlight w:val="none"/>
          <w:lang w:val="zh-CN" w:eastAsia="zh-CN"/>
        </w:rPr>
        <w:t>与上年相比，增加0.66万元</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增长100.00%</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主要原因是：</w:t>
      </w:r>
      <w:r>
        <w:rPr>
          <w:rFonts w:hint="eastAsia" w:eastAsia="仿宋_GB2312" w:cs="Times New Roman"/>
          <w:color w:val="auto"/>
          <w:sz w:val="32"/>
          <w:szCs w:val="32"/>
          <w:highlight w:val="none"/>
          <w:lang w:val="zh-CN" w:eastAsia="zh-CN"/>
        </w:rPr>
        <w:t>本年新增了国有企业退休人员社会化管理经费</w:t>
      </w:r>
      <w:r>
        <w:rPr>
          <w:rFonts w:hint="eastAsia" w:ascii="Times New Roman" w:hAnsi="Times New Roman" w:eastAsia="仿宋_GB2312" w:cs="Times New Roman"/>
          <w:color w:val="auto"/>
          <w:sz w:val="32"/>
          <w:szCs w:val="32"/>
          <w:highlight w:val="none"/>
          <w:lang w:val="zh-CN" w:eastAsia="zh-CN"/>
        </w:rPr>
        <w:t>。与年初预算相比，年初预算数</w:t>
      </w:r>
      <w:r>
        <w:rPr>
          <w:rFonts w:hint="eastAsia" w:ascii="Times New Roman" w:hAnsi="Times New Roman" w:eastAsia="仿宋_GB2312" w:cs="Times New Roman"/>
          <w:color w:val="auto"/>
          <w:sz w:val="32"/>
          <w:szCs w:val="32"/>
          <w:highlight w:val="none"/>
          <w:lang w:val="en-US" w:eastAsia="zh-CN"/>
        </w:rPr>
        <w:t>0.31</w:t>
      </w:r>
      <w:r>
        <w:rPr>
          <w:rFonts w:hint="eastAsia" w:ascii="Times New Roman" w:hAnsi="Times New Roman" w:eastAsia="仿宋_GB2312" w:cs="Times New Roman"/>
          <w:color w:val="auto"/>
          <w:sz w:val="32"/>
          <w:szCs w:val="32"/>
          <w:highlight w:val="none"/>
          <w:lang w:val="zh-CN" w:eastAsia="zh-CN"/>
        </w:rPr>
        <w:t>万元，决算数</w:t>
      </w:r>
      <w:r>
        <w:rPr>
          <w:rFonts w:hint="eastAsia" w:ascii="Times New Roman" w:hAnsi="Times New Roman" w:eastAsia="仿宋_GB2312" w:cs="Times New Roman"/>
          <w:color w:val="auto"/>
          <w:sz w:val="32"/>
          <w:szCs w:val="32"/>
          <w:highlight w:val="none"/>
          <w:lang w:val="en-US" w:eastAsia="zh-CN"/>
        </w:rPr>
        <w:t>0.66</w:t>
      </w:r>
      <w:r>
        <w:rPr>
          <w:rFonts w:hint="eastAsia" w:ascii="Times New Roman" w:hAnsi="Times New Roman" w:eastAsia="仿宋_GB2312" w:cs="Times New Roman"/>
          <w:color w:val="auto"/>
          <w:sz w:val="32"/>
          <w:szCs w:val="32"/>
          <w:highlight w:val="none"/>
          <w:lang w:val="zh-CN" w:eastAsia="zh-CN"/>
        </w:rPr>
        <w:t>万元，预决算差异率</w:t>
      </w:r>
      <w:r>
        <w:rPr>
          <w:rFonts w:hint="eastAsia" w:eastAsia="仿宋_GB2312" w:cs="Times New Roman"/>
          <w:color w:val="auto"/>
          <w:sz w:val="32"/>
          <w:szCs w:val="32"/>
          <w:highlight w:val="none"/>
          <w:lang w:val="en-US" w:eastAsia="zh-CN"/>
        </w:rPr>
        <w:t>112.90</w:t>
      </w:r>
      <w:r>
        <w:rPr>
          <w:rFonts w:hint="eastAsia" w:ascii="Times New Roman" w:hAnsi="Times New Roman" w:eastAsia="仿宋_GB2312" w:cs="Times New Roman"/>
          <w:color w:val="auto"/>
          <w:sz w:val="32"/>
          <w:szCs w:val="32"/>
          <w:highlight w:val="none"/>
          <w:lang w:val="zh-CN" w:eastAsia="zh-CN"/>
        </w:rPr>
        <w:t>%，主要原因是：</w:t>
      </w:r>
      <w:r>
        <w:rPr>
          <w:rFonts w:hint="eastAsia" w:eastAsia="仿宋_GB2312" w:cs="Times New Roman"/>
          <w:color w:val="auto"/>
          <w:sz w:val="32"/>
          <w:szCs w:val="32"/>
          <w:highlight w:val="none"/>
          <w:lang w:val="zh-CN" w:eastAsia="zh-CN"/>
        </w:rPr>
        <w:t>本年支付了</w:t>
      </w:r>
      <w:r>
        <w:rPr>
          <w:rFonts w:hint="eastAsia" w:eastAsia="仿宋_GB2312" w:cs="Times New Roman"/>
          <w:color w:val="auto"/>
          <w:sz w:val="32"/>
          <w:szCs w:val="32"/>
          <w:highlight w:val="none"/>
          <w:lang w:val="en-US" w:eastAsia="zh-CN"/>
        </w:rPr>
        <w:t>2021年-2022年</w:t>
      </w:r>
      <w:r>
        <w:rPr>
          <w:rFonts w:hint="eastAsia" w:eastAsia="仿宋_GB2312" w:cs="Times New Roman"/>
          <w:color w:val="auto"/>
          <w:sz w:val="32"/>
          <w:szCs w:val="32"/>
          <w:highlight w:val="none"/>
          <w:lang w:val="zh-CN" w:eastAsia="zh-CN"/>
        </w:rPr>
        <w:t>国有企业退休人员社会化管理经费。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Times New Roman" w:hAnsi="Times New Roman" w:eastAsia="仿宋_GB2312" w:cs="Times New Roman"/>
          <w:color w:val="auto"/>
          <w:sz w:val="32"/>
          <w:szCs w:val="32"/>
          <w:highlight w:val="none"/>
          <w:lang w:val="zh-CN" w:eastAsia="zh-CN"/>
        </w:rPr>
        <w:t>国有资本经营预算财政拨款支出</w:t>
      </w:r>
      <w:r>
        <w:rPr>
          <w:rFonts w:hint="eastAsia" w:ascii="Times New Roman" w:hAnsi="Times New Roman" w:eastAsia="仿宋_GB2312" w:cs="Times New Roman"/>
          <w:color w:val="auto"/>
          <w:sz w:val="32"/>
          <w:szCs w:val="32"/>
          <w:highlight w:val="none"/>
          <w:lang w:val="en-US" w:eastAsia="zh-CN"/>
        </w:rPr>
        <w:t>0.66</w:t>
      </w:r>
      <w:r>
        <w:rPr>
          <w:rFonts w:hint="eastAsia" w:ascii="Times New Roman" w:hAnsi="Times New Roman" w:eastAsia="仿宋_GB2312" w:cs="Times New Roman"/>
          <w:color w:val="auto"/>
          <w:sz w:val="32"/>
          <w:szCs w:val="32"/>
          <w:highlight w:val="none"/>
          <w:lang w:val="zh-CN" w:eastAsia="zh-CN"/>
        </w:rPr>
        <w:t>万元。</w:t>
      </w:r>
    </w:p>
    <w:p>
      <w:pPr>
        <w:keepNext w:val="0"/>
        <w:keepLines w:val="0"/>
        <w:pageBreakBefore w:val="0"/>
        <w:widowControl w:val="0"/>
        <w:numPr>
          <w:ilvl w:val="0"/>
          <w:numId w:val="2"/>
        </w:numPr>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仿宋_GB2312" w:hAnsi="仿宋_GB2312" w:eastAsia="仿宋_GB2312" w:cs="仿宋_GB2312"/>
          <w:color w:val="auto"/>
          <w:kern w:val="0"/>
          <w:sz w:val="32"/>
          <w:szCs w:val="32"/>
          <w:highlight w:val="none"/>
        </w:rPr>
        <w:t>国有资本经营预算支出（类）解决历史遗留问题及改革成本支出（款）国有企业退休人员社会化管理补助支出（项）:支出决算数为0.35</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rPr>
        <w:t>，比上年决算</w:t>
      </w:r>
      <w:r>
        <w:rPr>
          <w:rFonts w:hint="eastAsia" w:eastAsia="仿宋_GB2312" w:cs="Times New Roman"/>
          <w:color w:val="auto"/>
          <w:kern w:val="2"/>
          <w:sz w:val="30"/>
          <w:szCs w:val="30"/>
          <w:highlight w:val="none"/>
          <w:lang w:val="en-US" w:eastAsia="zh-CN" w:bidi="ar-SA"/>
        </w:rPr>
        <w:t>增加</w:t>
      </w:r>
      <w:r>
        <w:rPr>
          <w:rFonts w:hint="eastAsia" w:ascii="仿宋_GB2312" w:hAnsi="仿宋_GB2312" w:eastAsia="仿宋_GB2312" w:cs="仿宋_GB2312"/>
          <w:color w:val="auto"/>
          <w:kern w:val="0"/>
          <w:sz w:val="32"/>
          <w:szCs w:val="32"/>
          <w:highlight w:val="none"/>
        </w:rPr>
        <w:t>0.35</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rPr>
        <w:t>，</w:t>
      </w:r>
      <w:r>
        <w:rPr>
          <w:rFonts w:hint="eastAsia" w:eastAsia="仿宋_GB2312" w:cs="Times New Roman"/>
          <w:color w:val="auto"/>
          <w:kern w:val="2"/>
          <w:sz w:val="30"/>
          <w:szCs w:val="30"/>
          <w:highlight w:val="none"/>
          <w:lang w:val="en-US" w:eastAsia="zh-CN" w:bidi="ar-SA"/>
        </w:rPr>
        <w:t>增长</w:t>
      </w:r>
      <w:r>
        <w:rPr>
          <w:rFonts w:hint="eastAsia" w:ascii="仿宋_GB2312" w:hAnsi="仿宋_GB2312" w:eastAsia="仿宋_GB2312" w:cs="仿宋_GB2312"/>
          <w:color w:val="auto"/>
          <w:kern w:val="0"/>
          <w:sz w:val="32"/>
          <w:szCs w:val="32"/>
          <w:highlight w:val="none"/>
        </w:rPr>
        <w:t>100%，主要原因是：</w:t>
      </w:r>
      <w:r>
        <w:rPr>
          <w:rFonts w:hint="eastAsia" w:eastAsia="仿宋_GB2312" w:cs="Times New Roman"/>
          <w:color w:val="auto"/>
          <w:sz w:val="32"/>
          <w:szCs w:val="32"/>
          <w:highlight w:val="none"/>
          <w:lang w:val="en-US" w:eastAsia="zh-CN"/>
        </w:rPr>
        <w:t>本年度新增支出国有企业退休人员相关活动阵地运转等费用0.35万元，相关支出增加</w:t>
      </w:r>
      <w:r>
        <w:rPr>
          <w:rFonts w:hint="eastAsia" w:ascii="Times New Roman" w:hAnsi="Times New Roman" w:eastAsia="仿宋_GB2312" w:cs="Times New Roman"/>
          <w:color w:val="auto"/>
          <w:sz w:val="32"/>
          <w:szCs w:val="32"/>
          <w:highlight w:val="none"/>
          <w:lang w:val="zh-CN" w:eastAsia="zh-CN"/>
        </w:rPr>
        <w:t>。</w:t>
      </w:r>
    </w:p>
    <w:p>
      <w:pPr>
        <w:ind w:firstLine="640" w:firstLineChars="200"/>
        <w:rPr>
          <w:rFonts w:hint="eastAsia" w:ascii="Times New Roman" w:hAnsi="Times New Roman" w:eastAsia="仿宋_GB2312" w:cs="Times New Roman"/>
          <w:color w:val="auto"/>
          <w:sz w:val="32"/>
          <w:szCs w:val="32"/>
          <w:highlight w:val="none"/>
          <w:lang w:val="zh-CN" w:eastAsia="zh-CN"/>
        </w:rPr>
      </w:pPr>
      <w:r>
        <w:rPr>
          <w:rFonts w:hint="eastAsia" w:ascii="仿宋_GB2312" w:hAnsi="仿宋_GB2312" w:eastAsia="仿宋_GB2312" w:cs="仿宋_GB2312"/>
          <w:color w:val="auto"/>
          <w:kern w:val="0"/>
          <w:sz w:val="32"/>
          <w:szCs w:val="32"/>
          <w:highlight w:val="none"/>
        </w:rPr>
        <w:t>2.国有资本经营预算支出（类）解决历史遗留问题及改革成本支出（款）国有企业退休人员社会化管理补助支出（项）:支出决算数为0.26</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rPr>
        <w:t>，比上年决算</w:t>
      </w:r>
      <w:r>
        <w:rPr>
          <w:rFonts w:hint="eastAsia" w:eastAsia="仿宋_GB2312" w:cs="Times New Roman"/>
          <w:color w:val="auto"/>
          <w:kern w:val="2"/>
          <w:sz w:val="30"/>
          <w:szCs w:val="30"/>
          <w:highlight w:val="none"/>
          <w:lang w:val="en-US" w:eastAsia="zh-CN" w:bidi="ar-SA"/>
        </w:rPr>
        <w:t>增加</w:t>
      </w:r>
      <w:r>
        <w:rPr>
          <w:rFonts w:hint="eastAsia" w:ascii="仿宋_GB2312" w:hAnsi="仿宋_GB2312" w:eastAsia="仿宋_GB2312" w:cs="仿宋_GB2312"/>
          <w:color w:val="auto"/>
          <w:kern w:val="0"/>
          <w:sz w:val="32"/>
          <w:szCs w:val="32"/>
          <w:highlight w:val="none"/>
        </w:rPr>
        <w:t>0.26</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rPr>
        <w:t>，</w:t>
      </w:r>
      <w:r>
        <w:rPr>
          <w:rFonts w:hint="eastAsia" w:eastAsia="仿宋_GB2312" w:cs="Times New Roman"/>
          <w:color w:val="auto"/>
          <w:kern w:val="2"/>
          <w:sz w:val="30"/>
          <w:szCs w:val="30"/>
          <w:highlight w:val="none"/>
          <w:lang w:val="en-US" w:eastAsia="zh-CN" w:bidi="ar-SA"/>
        </w:rPr>
        <w:t>增长</w:t>
      </w:r>
      <w:r>
        <w:rPr>
          <w:rFonts w:hint="eastAsia" w:ascii="仿宋_GB2312" w:hAnsi="仿宋_GB2312" w:eastAsia="仿宋_GB2312" w:cs="仿宋_GB2312"/>
          <w:color w:val="auto"/>
          <w:kern w:val="0"/>
          <w:sz w:val="32"/>
          <w:szCs w:val="32"/>
          <w:highlight w:val="none"/>
        </w:rPr>
        <w:t>100%，主要原因是：</w:t>
      </w:r>
      <w:r>
        <w:rPr>
          <w:rFonts w:hint="eastAsia" w:eastAsia="仿宋_GB2312" w:cs="Times New Roman"/>
          <w:color w:val="auto"/>
          <w:sz w:val="32"/>
          <w:szCs w:val="32"/>
          <w:highlight w:val="none"/>
          <w:lang w:val="zh-CN" w:eastAsia="zh-CN"/>
        </w:rPr>
        <w:t>本年支付了</w:t>
      </w:r>
      <w:r>
        <w:rPr>
          <w:rFonts w:hint="eastAsia" w:eastAsia="仿宋_GB2312" w:cs="Times New Roman"/>
          <w:color w:val="auto"/>
          <w:sz w:val="32"/>
          <w:szCs w:val="32"/>
          <w:highlight w:val="none"/>
          <w:lang w:val="en-US" w:eastAsia="zh-CN"/>
        </w:rPr>
        <w:t>2022年</w:t>
      </w:r>
      <w:r>
        <w:rPr>
          <w:rFonts w:hint="eastAsia" w:eastAsia="仿宋_GB2312" w:cs="Times New Roman"/>
          <w:color w:val="auto"/>
          <w:sz w:val="32"/>
          <w:szCs w:val="32"/>
          <w:highlight w:val="none"/>
          <w:lang w:val="zh-CN" w:eastAsia="zh-CN"/>
        </w:rPr>
        <w:t>国有企业退休人员社会化管理经费</w:t>
      </w:r>
      <w:r>
        <w:rPr>
          <w:rFonts w:hint="eastAsia" w:eastAsia="仿宋_GB2312" w:cs="Times New Roman"/>
          <w:color w:val="auto"/>
          <w:sz w:val="32"/>
          <w:szCs w:val="32"/>
          <w:highlight w:val="none"/>
          <w:lang w:val="en-US" w:eastAsia="zh-CN"/>
        </w:rPr>
        <w:t>0.26万元</w:t>
      </w:r>
      <w:r>
        <w:rPr>
          <w:rFonts w:hint="eastAsia" w:eastAsia="仿宋_GB2312" w:cs="Times New Roman"/>
          <w:color w:val="auto"/>
          <w:sz w:val="32"/>
          <w:szCs w:val="32"/>
          <w:highlight w:val="none"/>
          <w:lang w:val="zh-CN" w:eastAsia="zh-CN"/>
        </w:rPr>
        <w:t>。</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3.国有资本经营预算支出（类）解决历史遗留问题及改革成本支出（款）国有企业退休人员社会化管理补助支出（项）:支出决算数为0.05</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rPr>
        <w:t>，比上年决算</w:t>
      </w:r>
      <w:r>
        <w:rPr>
          <w:rFonts w:hint="eastAsia" w:eastAsia="仿宋_GB2312" w:cs="Times New Roman"/>
          <w:color w:val="auto"/>
          <w:kern w:val="2"/>
          <w:sz w:val="30"/>
          <w:szCs w:val="30"/>
          <w:highlight w:val="none"/>
          <w:lang w:val="en-US" w:eastAsia="zh-CN" w:bidi="ar-SA"/>
        </w:rPr>
        <w:t>增加</w:t>
      </w:r>
      <w:r>
        <w:rPr>
          <w:rFonts w:hint="eastAsia" w:ascii="仿宋_GB2312" w:hAnsi="仿宋_GB2312" w:eastAsia="仿宋_GB2312" w:cs="仿宋_GB2312"/>
          <w:color w:val="auto"/>
          <w:kern w:val="0"/>
          <w:sz w:val="32"/>
          <w:szCs w:val="32"/>
          <w:highlight w:val="none"/>
        </w:rPr>
        <w:t>0.05</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rPr>
        <w:t>，</w:t>
      </w:r>
      <w:r>
        <w:rPr>
          <w:rFonts w:hint="eastAsia" w:eastAsia="仿宋_GB2312" w:cs="Times New Roman"/>
          <w:color w:val="auto"/>
          <w:kern w:val="2"/>
          <w:sz w:val="30"/>
          <w:szCs w:val="30"/>
          <w:highlight w:val="none"/>
          <w:lang w:val="en-US" w:eastAsia="zh-CN" w:bidi="ar-SA"/>
        </w:rPr>
        <w:t>增长</w:t>
      </w:r>
      <w:r>
        <w:rPr>
          <w:rFonts w:hint="eastAsia" w:ascii="仿宋_GB2312" w:hAnsi="仿宋_GB2312" w:eastAsia="仿宋_GB2312" w:cs="仿宋_GB2312"/>
          <w:color w:val="auto"/>
          <w:kern w:val="0"/>
          <w:sz w:val="32"/>
          <w:szCs w:val="32"/>
          <w:highlight w:val="none"/>
        </w:rPr>
        <w:t>100%，主要原因是：</w:t>
      </w:r>
      <w:r>
        <w:rPr>
          <w:rFonts w:hint="eastAsia" w:eastAsia="仿宋_GB2312" w:cs="Times New Roman"/>
          <w:color w:val="auto"/>
          <w:sz w:val="32"/>
          <w:szCs w:val="32"/>
          <w:highlight w:val="none"/>
          <w:lang w:val="zh-CN" w:eastAsia="zh-CN"/>
        </w:rPr>
        <w:t>本年支付了</w:t>
      </w:r>
      <w:r>
        <w:rPr>
          <w:rFonts w:hint="eastAsia" w:eastAsia="仿宋_GB2312" w:cs="Times New Roman"/>
          <w:color w:val="auto"/>
          <w:sz w:val="32"/>
          <w:szCs w:val="32"/>
          <w:highlight w:val="none"/>
          <w:lang w:val="en-US" w:eastAsia="zh-CN"/>
        </w:rPr>
        <w:t>2021年</w:t>
      </w:r>
      <w:r>
        <w:rPr>
          <w:rFonts w:hint="eastAsia" w:eastAsia="仿宋_GB2312" w:cs="Times New Roman"/>
          <w:color w:val="auto"/>
          <w:sz w:val="32"/>
          <w:szCs w:val="32"/>
          <w:highlight w:val="none"/>
          <w:lang w:val="zh-CN" w:eastAsia="zh-CN"/>
        </w:rPr>
        <w:t>国有企业退休人员社会化管理经费</w:t>
      </w:r>
      <w:r>
        <w:rPr>
          <w:rFonts w:hint="eastAsia" w:eastAsia="仿宋_GB2312" w:cs="Times New Roman"/>
          <w:color w:val="auto"/>
          <w:sz w:val="32"/>
          <w:szCs w:val="32"/>
          <w:highlight w:val="none"/>
          <w:lang w:val="en-US" w:eastAsia="zh-CN"/>
        </w:rPr>
        <w:t>0.05万元</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1" w:name="_Toc7314"/>
      <w:bookmarkStart w:id="22"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1"/>
      <w:bookmarkEnd w:id="2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3" w:name="_Toc13105"/>
      <w:bookmarkStart w:id="24"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3"/>
      <w:bookmarkEnd w:id="2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5" w:name="_Toc26704"/>
      <w:bookmarkStart w:id="26"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库尔勒市希望街道办事处（行政单位和参照公务员法管理事业单位）机关运行经费支出38.48万元，</w:t>
      </w:r>
      <w:r>
        <w:rPr>
          <w:rFonts w:hint="eastAsia" w:ascii="Times New Roman" w:hAnsi="Times New Roman" w:eastAsia="仿宋_GB2312" w:cs="Times New Roman"/>
          <w:color w:val="auto"/>
          <w:sz w:val="32"/>
          <w:szCs w:val="32"/>
          <w:highlight w:val="none"/>
          <w:lang w:val="zh-CN" w:eastAsia="zh-CN"/>
        </w:rPr>
        <w:t>比上年增加1.70万元，增长4.63%，主要原因是：</w:t>
      </w:r>
      <w:r>
        <w:rPr>
          <w:rFonts w:hint="eastAsia" w:eastAsia="仿宋_GB2312" w:cs="Times New Roman"/>
          <w:color w:val="auto"/>
          <w:sz w:val="32"/>
          <w:szCs w:val="32"/>
          <w:highlight w:val="none"/>
          <w:lang w:val="en-US" w:eastAsia="zh-CN"/>
        </w:rPr>
        <w:t>因2022年下半年疫情原因，支付疫情物资费用及疫情期间食堂经费，保障运转支出增加，</w:t>
      </w:r>
      <w:r>
        <w:rPr>
          <w:rFonts w:hint="eastAsia" w:ascii="Times New Roman" w:hAnsi="Times New Roman" w:eastAsia="仿宋_GB2312" w:cs="Times New Roman"/>
          <w:color w:val="auto"/>
          <w:sz w:val="32"/>
          <w:szCs w:val="32"/>
          <w:highlight w:val="none"/>
          <w:lang w:val="en-US" w:eastAsia="zh-CN"/>
        </w:rPr>
        <w:t>机关运行经费支出</w:t>
      </w:r>
      <w:r>
        <w:rPr>
          <w:rFonts w:hint="eastAsia" w:eastAsia="仿宋_GB2312" w:cs="Times New Roman"/>
          <w:color w:val="auto"/>
          <w:sz w:val="32"/>
          <w:szCs w:val="32"/>
          <w:highlight w:val="none"/>
          <w:lang w:val="en-US" w:eastAsia="zh-CN"/>
        </w:rPr>
        <w:t>增加</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5"/>
      <w:bookmarkEnd w:id="2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1.30万元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其中：政府采购货物支出0.22万元、政府采购工程支出0.00万元、政府采购服务支出1.09万元。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授予中小企业合同金额1.06万元，占政府采购支出总额的81.</w:t>
      </w:r>
      <w:r>
        <w:rPr>
          <w:rFonts w:hint="eastAsia" w:eastAsia="仿宋_GB2312" w:cs="Times New Roman"/>
          <w:color w:val="auto"/>
          <w:sz w:val="32"/>
          <w:szCs w:val="32"/>
          <w:highlight w:val="none"/>
          <w:lang w:val="en-US" w:eastAsia="zh-CN"/>
        </w:rPr>
        <w:t>54</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，其中：授予小微企业合同金额0.83万元，占政府采购支出总额的63.</w:t>
      </w:r>
      <w:r>
        <w:rPr>
          <w:rFonts w:hint="eastAsia" w:eastAsia="仿宋_GB2312" w:cs="Times New Roman"/>
          <w:color w:val="auto"/>
          <w:sz w:val="32"/>
          <w:szCs w:val="32"/>
          <w:highlight w:val="none"/>
          <w:lang w:val="en-US" w:eastAsia="zh-CN"/>
        </w:rPr>
        <w:t>85</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7" w:name="_Toc8391"/>
      <w:bookmarkStart w:id="28" w:name="_Toc4591"/>
      <w:r>
        <w:rPr>
          <w:rFonts w:hint="eastAsia" w:ascii="Times New Roman" w:hAnsi="Times New Roman" w:eastAsia="黑体" w:cs="Times New Roman"/>
          <w:color w:val="auto"/>
          <w:sz w:val="32"/>
          <w:szCs w:val="30"/>
          <w:highlight w:val="none"/>
          <w:lang w:val="zh-CN" w:eastAsia="zh-CN"/>
        </w:rPr>
        <w:t>（三）国有资产占用情况说明</w:t>
      </w:r>
      <w:bookmarkEnd w:id="27"/>
      <w:bookmarkEnd w:id="2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68.19</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屋0.0平方米，价值0.00万元。车辆0辆，价值0.00万元，其中：副部（省）级及以上领导用车0辆、主要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eastAsia="仿宋_GB2312" w:cs="Times New Roman"/>
          <w:color w:val="auto"/>
          <w:sz w:val="32"/>
          <w:szCs w:val="32"/>
          <w:highlight w:val="none"/>
          <w:lang w:val="zh-CN" w:eastAsia="zh-CN"/>
        </w:rPr>
        <w:t>本单位无其他用车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9" w:name="_Toc435"/>
      <w:bookmarkStart w:id="30"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9"/>
      <w:bookmarkEnd w:id="30"/>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预算总额1120.60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实际执行总额1120.60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全年预算数30.61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全年执行数26.11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w:t>
      </w:r>
      <w:bookmarkStart w:id="49" w:name="_GoBack"/>
      <w:bookmarkEnd w:id="49"/>
      <w:r>
        <w:rPr>
          <w:rFonts w:hint="eastAsia" w:ascii="仿宋_GB2312" w:eastAsia="仿宋_GB2312"/>
          <w:color w:val="auto"/>
          <w:sz w:val="32"/>
          <w:szCs w:val="32"/>
          <w:highlight w:val="none"/>
          <w:lang w:eastAsia="zh-CN"/>
        </w:rPr>
        <w:t>理取得的成效：</w:t>
      </w:r>
      <w:r>
        <w:rPr>
          <w:rFonts w:hint="eastAsia" w:ascii="仿宋_GB2312" w:eastAsia="仿宋_GB2312"/>
          <w:color w:val="auto"/>
          <w:sz w:val="31"/>
          <w:szCs w:val="31"/>
          <w:highlight w:val="none"/>
        </w:rPr>
        <w:t>一是各项资金的有效使用，对改善基层设施条件，加快构建现代化服务体系，为居民提供良好的生活环境，更好的长期开展维稳工作，正党风、强管理；二是为民办好事、办实事，提升了居民满意度。</w:t>
      </w:r>
      <w:r>
        <w:rPr>
          <w:rFonts w:hint="eastAsia" w:ascii="仿宋_GB2312" w:eastAsia="仿宋_GB2312"/>
          <w:color w:val="auto"/>
          <w:sz w:val="32"/>
          <w:szCs w:val="32"/>
          <w:highlight w:val="none"/>
          <w:lang w:eastAsia="zh-CN"/>
        </w:rPr>
        <w:t>发现的问题及原因</w:t>
      </w:r>
      <w:r>
        <w:rPr>
          <w:rFonts w:hint="eastAsia" w:ascii="仿宋_GB2312" w:eastAsia="仿宋_GB2312"/>
          <w:color w:val="auto"/>
          <w:sz w:val="31"/>
          <w:szCs w:val="31"/>
          <w:highlight w:val="none"/>
        </w:rPr>
        <w:t>一是项目资金执行率存在加强与上升空间，需要有关部门提升工作效率，在重点工作的完成上需要进一步提高；</w:t>
      </w:r>
      <w:r>
        <w:rPr>
          <w:rFonts w:hint="eastAsia" w:ascii="仿宋_GB2312" w:eastAsia="仿宋_GB2312"/>
          <w:color w:val="auto"/>
          <w:sz w:val="31"/>
          <w:szCs w:val="31"/>
          <w:highlight w:val="none"/>
          <w:lang w:val="en-US" w:eastAsia="zh-CN"/>
        </w:rPr>
        <w:t>三</w:t>
      </w:r>
      <w:r>
        <w:rPr>
          <w:rFonts w:hint="eastAsia" w:ascii="仿宋_GB2312" w:eastAsia="仿宋_GB2312"/>
          <w:color w:val="auto"/>
          <w:sz w:val="31"/>
          <w:szCs w:val="31"/>
          <w:highlight w:val="none"/>
        </w:rPr>
        <w:t>是项目资金执行力度需进一步加强。</w:t>
      </w:r>
      <w:r>
        <w:rPr>
          <w:rFonts w:hint="eastAsia" w:ascii="仿宋_GB2312" w:eastAsia="仿宋_GB2312"/>
          <w:color w:val="auto"/>
          <w:sz w:val="32"/>
          <w:szCs w:val="32"/>
          <w:highlight w:val="none"/>
          <w:lang w:eastAsia="zh-CN"/>
        </w:rPr>
        <w:t>下一步改进措施：</w:t>
      </w:r>
      <w:r>
        <w:rPr>
          <w:rFonts w:hint="eastAsia" w:ascii="仿宋_GB2312" w:eastAsia="仿宋_GB2312"/>
          <w:color w:val="auto"/>
          <w:sz w:val="31"/>
          <w:szCs w:val="31"/>
          <w:highlight w:val="none"/>
        </w:rPr>
        <w:t>一是细化预算编制工作，严格按照预算编制的相关制度和要求做好预算的编制，进一步加强预算管理意识；全面编制预算项目，优先保障固定的、相对刚性的费用支出项目，尽量压缩变动的、有控制空间的费用项目，进一步提高预算编制的科学性、严谨性和可控性；二是加强财务管理，严格财务审批。在费用保障支付时，按照预算规定的费用项目和用途进行资金使用、审核、列报支付，财务核算杜绝超预算支付的发生。三是加强项目实时监控，严格按照相关要求对相关项目的资金进行使用，确保资金专款专用及时有效</w:t>
      </w:r>
      <w:r>
        <w:rPr>
          <w:rFonts w:hint="eastAsia" w:ascii="仿宋_GB2312" w:eastAsia="仿宋_GB2312"/>
          <w:color w:val="auto"/>
          <w:sz w:val="31"/>
          <w:szCs w:val="31"/>
          <w:highlight w:val="none"/>
          <w:lang w:eastAsia="zh-CN"/>
        </w:rPr>
        <w:t>。</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1" w:name="_Toc3250"/>
      <w:bookmarkStart w:id="32"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1"/>
      <w:bookmarkEnd w:id="32"/>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3" w:name="_Toc6062"/>
      <w:bookmarkStart w:id="34" w:name="_Toc2183"/>
      <w:r>
        <w:rPr>
          <w:rFonts w:hint="eastAsia" w:ascii="黑体" w:hAnsi="黑体" w:eastAsia="仿宋_GB2312" w:cs="宋体"/>
          <w:bCs/>
          <w:color w:val="auto"/>
          <w:kern w:val="0"/>
          <w:sz w:val="32"/>
          <w:szCs w:val="32"/>
          <w:highlight w:val="none"/>
        </w:rPr>
        <w:t>一、《收入支出决算总表》</w:t>
      </w:r>
      <w:bookmarkEnd w:id="33"/>
      <w:bookmarkEnd w:id="3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5" w:name="_Toc24532"/>
      <w:bookmarkStart w:id="36" w:name="_Toc30364"/>
      <w:r>
        <w:rPr>
          <w:rFonts w:hint="eastAsia" w:ascii="黑体" w:hAnsi="黑体" w:eastAsia="仿宋_GB2312" w:cs="宋体"/>
          <w:bCs/>
          <w:color w:val="auto"/>
          <w:kern w:val="0"/>
          <w:sz w:val="32"/>
          <w:szCs w:val="32"/>
          <w:highlight w:val="none"/>
        </w:rPr>
        <w:t>二、《收入决算表》</w:t>
      </w:r>
      <w:bookmarkEnd w:id="35"/>
      <w:bookmarkEnd w:id="3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7" w:name="_Toc32434"/>
      <w:bookmarkStart w:id="38" w:name="_Toc21304"/>
      <w:r>
        <w:rPr>
          <w:rFonts w:hint="eastAsia" w:ascii="黑体" w:hAnsi="黑体" w:eastAsia="仿宋_GB2312" w:cs="宋体"/>
          <w:bCs/>
          <w:color w:val="auto"/>
          <w:kern w:val="0"/>
          <w:sz w:val="32"/>
          <w:szCs w:val="32"/>
          <w:highlight w:val="none"/>
        </w:rPr>
        <w:t>三、《支出决算表》</w:t>
      </w:r>
      <w:bookmarkEnd w:id="37"/>
      <w:bookmarkEnd w:id="3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9" w:name="_Toc14238"/>
      <w:bookmarkStart w:id="40" w:name="_Toc28786"/>
      <w:r>
        <w:rPr>
          <w:rFonts w:hint="eastAsia" w:ascii="黑体" w:hAnsi="黑体" w:eastAsia="仿宋_GB2312" w:cs="宋体"/>
          <w:bCs/>
          <w:color w:val="auto"/>
          <w:kern w:val="0"/>
          <w:sz w:val="32"/>
          <w:szCs w:val="32"/>
          <w:highlight w:val="none"/>
        </w:rPr>
        <w:t>四、《财政拨款收入支出决算总表》</w:t>
      </w:r>
      <w:bookmarkEnd w:id="39"/>
      <w:bookmarkEnd w:id="4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1" w:name="_Toc10347"/>
      <w:bookmarkStart w:id="42" w:name="_Toc14869"/>
      <w:r>
        <w:rPr>
          <w:rFonts w:hint="eastAsia" w:ascii="黑体" w:hAnsi="黑体" w:eastAsia="仿宋_GB2312" w:cs="宋体"/>
          <w:bCs/>
          <w:color w:val="auto"/>
          <w:kern w:val="0"/>
          <w:sz w:val="32"/>
          <w:szCs w:val="32"/>
          <w:highlight w:val="none"/>
        </w:rPr>
        <w:t>五、《一般公共预算财政拨款支出决算表》</w:t>
      </w:r>
      <w:bookmarkEnd w:id="41"/>
      <w:bookmarkEnd w:id="4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3" w:name="_Toc5626"/>
      <w:bookmarkStart w:id="44" w:name="_Toc8884"/>
      <w:r>
        <w:rPr>
          <w:rFonts w:hint="eastAsia" w:ascii="黑体" w:hAnsi="黑体" w:eastAsia="仿宋_GB2312" w:cs="宋体"/>
          <w:bCs/>
          <w:color w:val="auto"/>
          <w:kern w:val="0"/>
          <w:sz w:val="32"/>
          <w:szCs w:val="32"/>
          <w:highlight w:val="none"/>
        </w:rPr>
        <w:t>六、《一般公共预算财政拨款基本支出决算表》</w:t>
      </w:r>
      <w:bookmarkEnd w:id="43"/>
      <w:bookmarkEnd w:id="4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5" w:name="_Toc29106"/>
      <w:bookmarkStart w:id="46" w:name="_Toc32663"/>
      <w:r>
        <w:rPr>
          <w:rFonts w:hint="eastAsia" w:ascii="黑体" w:hAnsi="黑体" w:eastAsia="仿宋_GB2312" w:cs="宋体"/>
          <w:bCs/>
          <w:color w:val="auto"/>
          <w:kern w:val="0"/>
          <w:sz w:val="32"/>
          <w:szCs w:val="32"/>
          <w:highlight w:val="none"/>
        </w:rPr>
        <w:t>《财政拨款“三公”经费支出决算表》</w:t>
      </w:r>
      <w:bookmarkEnd w:id="45"/>
      <w:bookmarkEnd w:id="4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7" w:name="_Toc5453"/>
      <w:bookmarkStart w:id="48" w:name="_Toc7643"/>
      <w:r>
        <w:rPr>
          <w:rFonts w:hint="eastAsia" w:ascii="黑体" w:hAnsi="黑体" w:eastAsia="仿宋_GB2312" w:cs="宋体"/>
          <w:bCs/>
          <w:color w:val="auto"/>
          <w:kern w:val="0"/>
          <w:sz w:val="32"/>
          <w:szCs w:val="32"/>
          <w:highlight w:val="none"/>
        </w:rPr>
        <w:t>八、《政府性基金预算财政拨款收入支出决算表》</w:t>
      </w:r>
      <w:bookmarkEnd w:id="47"/>
      <w:bookmarkEnd w:id="4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r>
        <w:rPr>
          <w:color w:val="auto"/>
        </w:rPr>
        <w:drawing>
          <wp:anchor distT="0" distB="0" distL="114300" distR="114300" simplePos="0" relativeHeight="251660288" behindDoc="0" locked="0" layoutInCell="1" allowOverlap="1">
            <wp:simplePos x="0" y="0"/>
            <wp:positionH relativeFrom="column">
              <wp:posOffset>-360045</wp:posOffset>
            </wp:positionH>
            <wp:positionV relativeFrom="page">
              <wp:posOffset>975360</wp:posOffset>
            </wp:positionV>
            <wp:extent cx="6056630" cy="8665210"/>
            <wp:effectExtent l="0" t="0" r="8890" b="6350"/>
            <wp:wrapSquare wrapText="bothSides"/>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6056630" cy="866521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r>
        <w:rPr>
          <w:color w:val="auto"/>
        </w:rPr>
        <w:drawing>
          <wp:anchor distT="0" distB="0" distL="114300" distR="114300" simplePos="0" relativeHeight="251659264" behindDoc="0" locked="0" layoutInCell="1" allowOverlap="1">
            <wp:simplePos x="0" y="0"/>
            <wp:positionH relativeFrom="column">
              <wp:posOffset>-643890</wp:posOffset>
            </wp:positionH>
            <wp:positionV relativeFrom="page">
              <wp:posOffset>934085</wp:posOffset>
            </wp:positionV>
            <wp:extent cx="6609080" cy="8681720"/>
            <wp:effectExtent l="0" t="0" r="5080" b="5080"/>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6609080" cy="868172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r>
        <w:rPr>
          <w:color w:val="auto"/>
        </w:rPr>
        <w:drawing>
          <wp:anchor distT="0" distB="0" distL="114300" distR="114300" simplePos="0" relativeHeight="251661312" behindDoc="0" locked="0" layoutInCell="1" allowOverlap="1">
            <wp:simplePos x="0" y="0"/>
            <wp:positionH relativeFrom="column">
              <wp:posOffset>-353060</wp:posOffset>
            </wp:positionH>
            <wp:positionV relativeFrom="page">
              <wp:posOffset>935990</wp:posOffset>
            </wp:positionV>
            <wp:extent cx="5977890" cy="8732520"/>
            <wp:effectExtent l="0" t="0" r="11430" b="0"/>
            <wp:wrapSquare wrapText="bothSides"/>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a:stretch>
                      <a:fillRect/>
                    </a:stretch>
                  </pic:blipFill>
                  <pic:spPr>
                    <a:xfrm>
                      <a:off x="0" y="0"/>
                      <a:ext cx="5977890" cy="873252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r>
        <w:rPr>
          <w:color w:val="auto"/>
        </w:rPr>
        <w:drawing>
          <wp:anchor distT="0" distB="0" distL="114300" distR="114300" simplePos="0" relativeHeight="251662336" behindDoc="0" locked="0" layoutInCell="1" allowOverlap="1">
            <wp:simplePos x="0" y="0"/>
            <wp:positionH relativeFrom="column">
              <wp:posOffset>-700405</wp:posOffset>
            </wp:positionH>
            <wp:positionV relativeFrom="page">
              <wp:posOffset>950595</wp:posOffset>
            </wp:positionV>
            <wp:extent cx="6715125" cy="8033385"/>
            <wp:effectExtent l="0" t="0" r="5715" b="13335"/>
            <wp:wrapSquare wrapText="bothSides"/>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6715125" cy="803338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r>
        <w:rPr>
          <w:color w:val="auto"/>
        </w:rPr>
        <w:drawing>
          <wp:anchor distT="0" distB="0" distL="114300" distR="114300" simplePos="0" relativeHeight="251663360" behindDoc="0" locked="0" layoutInCell="1" allowOverlap="1">
            <wp:simplePos x="0" y="0"/>
            <wp:positionH relativeFrom="column">
              <wp:posOffset>-173355</wp:posOffset>
            </wp:positionH>
            <wp:positionV relativeFrom="paragraph">
              <wp:posOffset>69215</wp:posOffset>
            </wp:positionV>
            <wp:extent cx="5599430" cy="8752840"/>
            <wp:effectExtent l="0" t="0" r="8890" b="10160"/>
            <wp:wrapSquare wrapText="bothSides"/>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9"/>
                    <a:stretch>
                      <a:fillRect/>
                    </a:stretch>
                  </pic:blipFill>
                  <pic:spPr>
                    <a:xfrm>
                      <a:off x="0" y="0"/>
                      <a:ext cx="5599430" cy="875284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r>
        <w:rPr>
          <w:color w:val="auto"/>
        </w:rPr>
        <w:drawing>
          <wp:anchor distT="0" distB="0" distL="114300" distR="114300" simplePos="0" relativeHeight="251667456" behindDoc="1" locked="0" layoutInCell="1" allowOverlap="1">
            <wp:simplePos x="0" y="0"/>
            <wp:positionH relativeFrom="column">
              <wp:posOffset>-584200</wp:posOffset>
            </wp:positionH>
            <wp:positionV relativeFrom="page">
              <wp:posOffset>789940</wp:posOffset>
            </wp:positionV>
            <wp:extent cx="6492240" cy="9061450"/>
            <wp:effectExtent l="0" t="0" r="0" b="6350"/>
            <wp:wrapThrough wrapText="bothSides">
              <wp:wrapPolygon>
                <wp:start x="0" y="0"/>
                <wp:lineTo x="0" y="21579"/>
                <wp:lineTo x="21549" y="21579"/>
                <wp:lineTo x="21549" y="0"/>
                <wp:lineTo x="0" y="0"/>
              </wp:wrapPolygon>
            </wp:wrapThrough>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0"/>
                    <a:stretch>
                      <a:fillRect/>
                    </a:stretch>
                  </pic:blipFill>
                  <pic:spPr>
                    <a:xfrm>
                      <a:off x="0" y="0"/>
                      <a:ext cx="6492240" cy="906145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r>
        <w:rPr>
          <w:color w:val="auto"/>
        </w:rPr>
        <w:drawing>
          <wp:anchor distT="0" distB="0" distL="114300" distR="114300" simplePos="0" relativeHeight="251664384" behindDoc="0" locked="0" layoutInCell="1" allowOverlap="1">
            <wp:simplePos x="0" y="0"/>
            <wp:positionH relativeFrom="column">
              <wp:posOffset>-498475</wp:posOffset>
            </wp:positionH>
            <wp:positionV relativeFrom="paragraph">
              <wp:posOffset>50165</wp:posOffset>
            </wp:positionV>
            <wp:extent cx="6269355" cy="3961130"/>
            <wp:effectExtent l="0" t="0" r="9525" b="1270"/>
            <wp:wrapSquare wrapText="bothSides"/>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1"/>
                    <a:stretch>
                      <a:fillRect/>
                    </a:stretch>
                  </pic:blipFill>
                  <pic:spPr>
                    <a:xfrm>
                      <a:off x="0" y="0"/>
                      <a:ext cx="6269355" cy="396113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r>
        <w:rPr>
          <w:color w:val="auto"/>
        </w:rPr>
        <w:drawing>
          <wp:anchor distT="0" distB="0" distL="114300" distR="114300" simplePos="0" relativeHeight="251665408" behindDoc="0" locked="0" layoutInCell="1" allowOverlap="1">
            <wp:simplePos x="0" y="0"/>
            <wp:positionH relativeFrom="column">
              <wp:posOffset>-346710</wp:posOffset>
            </wp:positionH>
            <wp:positionV relativeFrom="paragraph">
              <wp:posOffset>-4445</wp:posOffset>
            </wp:positionV>
            <wp:extent cx="6042660" cy="4922520"/>
            <wp:effectExtent l="0" t="0" r="7620" b="0"/>
            <wp:wrapSquare wrapText="bothSides"/>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2"/>
                    <a:stretch>
                      <a:fillRect/>
                    </a:stretch>
                  </pic:blipFill>
                  <pic:spPr>
                    <a:xfrm>
                      <a:off x="0" y="0"/>
                      <a:ext cx="6042660" cy="492252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r>
        <w:rPr>
          <w:color w:val="auto"/>
        </w:rPr>
        <w:drawing>
          <wp:anchor distT="0" distB="0" distL="114300" distR="114300" simplePos="0" relativeHeight="251666432" behindDoc="0" locked="0" layoutInCell="1" allowOverlap="1">
            <wp:simplePos x="0" y="0"/>
            <wp:positionH relativeFrom="column">
              <wp:posOffset>-478155</wp:posOffset>
            </wp:positionH>
            <wp:positionV relativeFrom="paragraph">
              <wp:posOffset>26035</wp:posOffset>
            </wp:positionV>
            <wp:extent cx="6261100" cy="5733415"/>
            <wp:effectExtent l="0" t="0" r="2540" b="12065"/>
            <wp:wrapSquare wrapText="bothSides"/>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3"/>
                    <a:stretch>
                      <a:fillRect/>
                    </a:stretch>
                  </pic:blipFill>
                  <pic:spPr>
                    <a:xfrm>
                      <a:off x="0" y="0"/>
                      <a:ext cx="6261100" cy="573341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27AC1C"/>
    <w:multiLevelType w:val="singleLevel"/>
    <w:tmpl w:val="0527AC1C"/>
    <w:lvl w:ilvl="0" w:tentative="0">
      <w:start w:val="1"/>
      <w:numFmt w:val="decimal"/>
      <w:lvlText w:val="%1."/>
      <w:lvlJc w:val="left"/>
      <w:pPr>
        <w:tabs>
          <w:tab w:val="left" w:pos="312"/>
        </w:tabs>
      </w:pPr>
    </w:lvl>
  </w:abstractNum>
  <w:abstractNum w:abstractNumId="1">
    <w:nsid w:val="103F031D"/>
    <w:multiLevelType w:val="singleLevel"/>
    <w:tmpl w:val="103F031D"/>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2B153D"/>
    <w:rsid w:val="003210CE"/>
    <w:rsid w:val="00B70D59"/>
    <w:rsid w:val="00F52A8D"/>
    <w:rsid w:val="015B5171"/>
    <w:rsid w:val="016A731A"/>
    <w:rsid w:val="019404F8"/>
    <w:rsid w:val="02BD3108"/>
    <w:rsid w:val="02F73D26"/>
    <w:rsid w:val="034D4FEF"/>
    <w:rsid w:val="035D1785"/>
    <w:rsid w:val="039F47CE"/>
    <w:rsid w:val="03E05CE8"/>
    <w:rsid w:val="03F973EE"/>
    <w:rsid w:val="043E5B56"/>
    <w:rsid w:val="04C04386"/>
    <w:rsid w:val="04D96608"/>
    <w:rsid w:val="04DF2BF9"/>
    <w:rsid w:val="04FA68C4"/>
    <w:rsid w:val="05291778"/>
    <w:rsid w:val="053F5AE6"/>
    <w:rsid w:val="057C0B0F"/>
    <w:rsid w:val="05EF4B48"/>
    <w:rsid w:val="05F76ECA"/>
    <w:rsid w:val="066373AA"/>
    <w:rsid w:val="06792773"/>
    <w:rsid w:val="07093795"/>
    <w:rsid w:val="07804730"/>
    <w:rsid w:val="079052BE"/>
    <w:rsid w:val="08145C21"/>
    <w:rsid w:val="08422688"/>
    <w:rsid w:val="085854ED"/>
    <w:rsid w:val="0879188F"/>
    <w:rsid w:val="08A0354D"/>
    <w:rsid w:val="08CD4C49"/>
    <w:rsid w:val="08CF0020"/>
    <w:rsid w:val="09114954"/>
    <w:rsid w:val="095A5B83"/>
    <w:rsid w:val="096466E3"/>
    <w:rsid w:val="0968304D"/>
    <w:rsid w:val="09AF3D17"/>
    <w:rsid w:val="0A7809B7"/>
    <w:rsid w:val="0A7B4867"/>
    <w:rsid w:val="0A840954"/>
    <w:rsid w:val="0A9928ED"/>
    <w:rsid w:val="0A9F0AA6"/>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5B5A46"/>
    <w:rsid w:val="0F78534A"/>
    <w:rsid w:val="0F89358A"/>
    <w:rsid w:val="0F8C6D51"/>
    <w:rsid w:val="105B0B5E"/>
    <w:rsid w:val="112E58D0"/>
    <w:rsid w:val="11731CAC"/>
    <w:rsid w:val="119500A0"/>
    <w:rsid w:val="11C0733B"/>
    <w:rsid w:val="11D50D17"/>
    <w:rsid w:val="120515F1"/>
    <w:rsid w:val="120E0809"/>
    <w:rsid w:val="127F665A"/>
    <w:rsid w:val="12F7068C"/>
    <w:rsid w:val="14207DC0"/>
    <w:rsid w:val="14B932DA"/>
    <w:rsid w:val="150A66AF"/>
    <w:rsid w:val="153604A9"/>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196AF3"/>
    <w:rsid w:val="184510FD"/>
    <w:rsid w:val="190648B0"/>
    <w:rsid w:val="19071D6C"/>
    <w:rsid w:val="19D26CD4"/>
    <w:rsid w:val="19E60D19"/>
    <w:rsid w:val="19FF7082"/>
    <w:rsid w:val="1A3E3450"/>
    <w:rsid w:val="1AD807E5"/>
    <w:rsid w:val="1B39345B"/>
    <w:rsid w:val="1BFB2A1F"/>
    <w:rsid w:val="1C015D4A"/>
    <w:rsid w:val="1C290ED5"/>
    <w:rsid w:val="1C317E4F"/>
    <w:rsid w:val="1C472464"/>
    <w:rsid w:val="1C86063C"/>
    <w:rsid w:val="1CAD03C9"/>
    <w:rsid w:val="1D22799A"/>
    <w:rsid w:val="1D5C1A72"/>
    <w:rsid w:val="1DAF458D"/>
    <w:rsid w:val="1E086ACE"/>
    <w:rsid w:val="1E62130A"/>
    <w:rsid w:val="1E97358B"/>
    <w:rsid w:val="1EAA4A5F"/>
    <w:rsid w:val="1EE869A7"/>
    <w:rsid w:val="1FA15E62"/>
    <w:rsid w:val="1FA60885"/>
    <w:rsid w:val="1FED69B6"/>
    <w:rsid w:val="2064678E"/>
    <w:rsid w:val="20DC1AB9"/>
    <w:rsid w:val="20DD6197"/>
    <w:rsid w:val="212631E0"/>
    <w:rsid w:val="21A53757"/>
    <w:rsid w:val="221236C6"/>
    <w:rsid w:val="22D7662C"/>
    <w:rsid w:val="232B5A73"/>
    <w:rsid w:val="23326B7F"/>
    <w:rsid w:val="2380045B"/>
    <w:rsid w:val="23BC04D2"/>
    <w:rsid w:val="23EF1892"/>
    <w:rsid w:val="2483647E"/>
    <w:rsid w:val="24A32D55"/>
    <w:rsid w:val="25292727"/>
    <w:rsid w:val="252E5CA9"/>
    <w:rsid w:val="256F7692"/>
    <w:rsid w:val="25BA2154"/>
    <w:rsid w:val="25C8773F"/>
    <w:rsid w:val="25F90D36"/>
    <w:rsid w:val="264A7253"/>
    <w:rsid w:val="26F0170C"/>
    <w:rsid w:val="27171E5E"/>
    <w:rsid w:val="27201D62"/>
    <w:rsid w:val="27286E73"/>
    <w:rsid w:val="277A1569"/>
    <w:rsid w:val="27CF2642"/>
    <w:rsid w:val="27E777F5"/>
    <w:rsid w:val="27EA1D4C"/>
    <w:rsid w:val="27EA2E41"/>
    <w:rsid w:val="282459E2"/>
    <w:rsid w:val="283A7FE5"/>
    <w:rsid w:val="285F51FF"/>
    <w:rsid w:val="28DF2665"/>
    <w:rsid w:val="29072599"/>
    <w:rsid w:val="291029F3"/>
    <w:rsid w:val="29627B0E"/>
    <w:rsid w:val="29CB58F0"/>
    <w:rsid w:val="2A053397"/>
    <w:rsid w:val="2A145E96"/>
    <w:rsid w:val="2A2131BB"/>
    <w:rsid w:val="2AE53FC2"/>
    <w:rsid w:val="2AF5378F"/>
    <w:rsid w:val="2BB94DBF"/>
    <w:rsid w:val="2BC32B11"/>
    <w:rsid w:val="2C3E2F5E"/>
    <w:rsid w:val="2C6F314E"/>
    <w:rsid w:val="2CC206BE"/>
    <w:rsid w:val="2D0D3A12"/>
    <w:rsid w:val="2D1136DF"/>
    <w:rsid w:val="2D20606D"/>
    <w:rsid w:val="2DB87198"/>
    <w:rsid w:val="2DB93C54"/>
    <w:rsid w:val="2E3D144C"/>
    <w:rsid w:val="2E891204"/>
    <w:rsid w:val="2F3F0A28"/>
    <w:rsid w:val="2F53360F"/>
    <w:rsid w:val="2F9A14D1"/>
    <w:rsid w:val="2FA14425"/>
    <w:rsid w:val="2FBF7029"/>
    <w:rsid w:val="2FD0187F"/>
    <w:rsid w:val="2FD27414"/>
    <w:rsid w:val="2FFE4BB0"/>
    <w:rsid w:val="300E7B60"/>
    <w:rsid w:val="300F6E18"/>
    <w:rsid w:val="30862F5F"/>
    <w:rsid w:val="314029C9"/>
    <w:rsid w:val="31C63837"/>
    <w:rsid w:val="31C82E39"/>
    <w:rsid w:val="32601BAD"/>
    <w:rsid w:val="329F6389"/>
    <w:rsid w:val="33575676"/>
    <w:rsid w:val="3389023A"/>
    <w:rsid w:val="33CB74FA"/>
    <w:rsid w:val="343642F2"/>
    <w:rsid w:val="343F3010"/>
    <w:rsid w:val="345D0A00"/>
    <w:rsid w:val="34713BFD"/>
    <w:rsid w:val="34C13589"/>
    <w:rsid w:val="353369E3"/>
    <w:rsid w:val="35E00D72"/>
    <w:rsid w:val="36965B9D"/>
    <w:rsid w:val="36C549FD"/>
    <w:rsid w:val="36EA0920"/>
    <w:rsid w:val="37A755DD"/>
    <w:rsid w:val="37F94FA0"/>
    <w:rsid w:val="380D3381"/>
    <w:rsid w:val="38115B1F"/>
    <w:rsid w:val="385E3AC3"/>
    <w:rsid w:val="387D6B9E"/>
    <w:rsid w:val="38960BD7"/>
    <w:rsid w:val="38B75FF0"/>
    <w:rsid w:val="38C76D31"/>
    <w:rsid w:val="38D45016"/>
    <w:rsid w:val="38D90432"/>
    <w:rsid w:val="3914510A"/>
    <w:rsid w:val="3926770B"/>
    <w:rsid w:val="398D3668"/>
    <w:rsid w:val="39C1737D"/>
    <w:rsid w:val="39DA0497"/>
    <w:rsid w:val="3A893816"/>
    <w:rsid w:val="3A893B6D"/>
    <w:rsid w:val="3AD1763A"/>
    <w:rsid w:val="3B6716E3"/>
    <w:rsid w:val="3B6C6B2D"/>
    <w:rsid w:val="3C242659"/>
    <w:rsid w:val="3C5F7D91"/>
    <w:rsid w:val="3C96719C"/>
    <w:rsid w:val="3CA72BE8"/>
    <w:rsid w:val="3CF37F8C"/>
    <w:rsid w:val="3D137554"/>
    <w:rsid w:val="3D5275AC"/>
    <w:rsid w:val="3DCC2473"/>
    <w:rsid w:val="3DEB0883"/>
    <w:rsid w:val="3E2527BF"/>
    <w:rsid w:val="3E68015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0A74351"/>
    <w:rsid w:val="41431AD5"/>
    <w:rsid w:val="414B3C0F"/>
    <w:rsid w:val="417C1CE7"/>
    <w:rsid w:val="41900018"/>
    <w:rsid w:val="41944406"/>
    <w:rsid w:val="41CE128F"/>
    <w:rsid w:val="41D57304"/>
    <w:rsid w:val="41DA6F12"/>
    <w:rsid w:val="42171FB1"/>
    <w:rsid w:val="429E7C80"/>
    <w:rsid w:val="42C97293"/>
    <w:rsid w:val="434E6957"/>
    <w:rsid w:val="43BA0E31"/>
    <w:rsid w:val="43C15147"/>
    <w:rsid w:val="43E14DD2"/>
    <w:rsid w:val="43F800E9"/>
    <w:rsid w:val="4414076F"/>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8D55A50"/>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5D3F8D"/>
    <w:rsid w:val="4F663C87"/>
    <w:rsid w:val="4F7E29A8"/>
    <w:rsid w:val="4F9E1FFC"/>
    <w:rsid w:val="50422D9E"/>
    <w:rsid w:val="50447CC2"/>
    <w:rsid w:val="50874A7C"/>
    <w:rsid w:val="50895EE7"/>
    <w:rsid w:val="50921B9D"/>
    <w:rsid w:val="50D16158"/>
    <w:rsid w:val="50DB5F45"/>
    <w:rsid w:val="51025EB1"/>
    <w:rsid w:val="51141503"/>
    <w:rsid w:val="518D0ED5"/>
    <w:rsid w:val="525C687F"/>
    <w:rsid w:val="52F647F7"/>
    <w:rsid w:val="52F92565"/>
    <w:rsid w:val="53493376"/>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56245F"/>
    <w:rsid w:val="577B4878"/>
    <w:rsid w:val="57926973"/>
    <w:rsid w:val="57CD7D2D"/>
    <w:rsid w:val="58175352"/>
    <w:rsid w:val="581F2200"/>
    <w:rsid w:val="583059FA"/>
    <w:rsid w:val="584A0929"/>
    <w:rsid w:val="58CD2491"/>
    <w:rsid w:val="591B3514"/>
    <w:rsid w:val="591B41B2"/>
    <w:rsid w:val="59254A26"/>
    <w:rsid w:val="59326325"/>
    <w:rsid w:val="595C505B"/>
    <w:rsid w:val="595E55C3"/>
    <w:rsid w:val="596E7E20"/>
    <w:rsid w:val="5A60780B"/>
    <w:rsid w:val="5AB34579"/>
    <w:rsid w:val="5AFC6609"/>
    <w:rsid w:val="5B0977F3"/>
    <w:rsid w:val="5B113480"/>
    <w:rsid w:val="5B952952"/>
    <w:rsid w:val="5BD456CE"/>
    <w:rsid w:val="5C0D1F49"/>
    <w:rsid w:val="5CBB0CE2"/>
    <w:rsid w:val="5CC17177"/>
    <w:rsid w:val="5CDD5AF2"/>
    <w:rsid w:val="5CF306BC"/>
    <w:rsid w:val="5D3F3D64"/>
    <w:rsid w:val="5D820EF6"/>
    <w:rsid w:val="5D833043"/>
    <w:rsid w:val="5DD92690"/>
    <w:rsid w:val="5DDB1CFD"/>
    <w:rsid w:val="5DDE040E"/>
    <w:rsid w:val="5E7E6D93"/>
    <w:rsid w:val="5ED44800"/>
    <w:rsid w:val="5F350BDE"/>
    <w:rsid w:val="5F61632C"/>
    <w:rsid w:val="5FA17648"/>
    <w:rsid w:val="5FE705CB"/>
    <w:rsid w:val="603D5080"/>
    <w:rsid w:val="60D0261B"/>
    <w:rsid w:val="618E3791"/>
    <w:rsid w:val="61947DCA"/>
    <w:rsid w:val="61A46A97"/>
    <w:rsid w:val="61D1382F"/>
    <w:rsid w:val="61F114A2"/>
    <w:rsid w:val="623B0E13"/>
    <w:rsid w:val="62512BB4"/>
    <w:rsid w:val="625D7D1A"/>
    <w:rsid w:val="62DD7D21"/>
    <w:rsid w:val="637D586B"/>
    <w:rsid w:val="63A5560B"/>
    <w:rsid w:val="63E9091F"/>
    <w:rsid w:val="64322AF9"/>
    <w:rsid w:val="648F7EE3"/>
    <w:rsid w:val="64D6010D"/>
    <w:rsid w:val="64D82665"/>
    <w:rsid w:val="64E47C96"/>
    <w:rsid w:val="651215AD"/>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7D019A4"/>
    <w:rsid w:val="683F0658"/>
    <w:rsid w:val="689C6793"/>
    <w:rsid w:val="68DB0208"/>
    <w:rsid w:val="68FB170C"/>
    <w:rsid w:val="691B3D98"/>
    <w:rsid w:val="693748F0"/>
    <w:rsid w:val="69846A0E"/>
    <w:rsid w:val="69AA1366"/>
    <w:rsid w:val="69AD798C"/>
    <w:rsid w:val="69D005C0"/>
    <w:rsid w:val="69D80B96"/>
    <w:rsid w:val="6A8059E1"/>
    <w:rsid w:val="6AC601D0"/>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2B5764"/>
    <w:rsid w:val="705A4DC0"/>
    <w:rsid w:val="70AA6621"/>
    <w:rsid w:val="7111480F"/>
    <w:rsid w:val="71261F49"/>
    <w:rsid w:val="712E6956"/>
    <w:rsid w:val="71473612"/>
    <w:rsid w:val="71504F32"/>
    <w:rsid w:val="7152309F"/>
    <w:rsid w:val="718E6269"/>
    <w:rsid w:val="718F7F65"/>
    <w:rsid w:val="727B234E"/>
    <w:rsid w:val="72D068C7"/>
    <w:rsid w:val="72E42ED8"/>
    <w:rsid w:val="735F4CB9"/>
    <w:rsid w:val="73674C62"/>
    <w:rsid w:val="73845865"/>
    <w:rsid w:val="739B6D9E"/>
    <w:rsid w:val="73BC1D76"/>
    <w:rsid w:val="73FB6630"/>
    <w:rsid w:val="748D790E"/>
    <w:rsid w:val="749820CC"/>
    <w:rsid w:val="74CE04EC"/>
    <w:rsid w:val="74E76DCD"/>
    <w:rsid w:val="750A6931"/>
    <w:rsid w:val="751D7C0A"/>
    <w:rsid w:val="75722D56"/>
    <w:rsid w:val="75D8147B"/>
    <w:rsid w:val="75DB5477"/>
    <w:rsid w:val="75FC6AC3"/>
    <w:rsid w:val="7616619B"/>
    <w:rsid w:val="76214DD0"/>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BCB3874"/>
    <w:rsid w:val="7C7248A0"/>
    <w:rsid w:val="7C976D69"/>
    <w:rsid w:val="7CD752DA"/>
    <w:rsid w:val="7CDE40AB"/>
    <w:rsid w:val="7CF057E2"/>
    <w:rsid w:val="7D1548B5"/>
    <w:rsid w:val="7DAD74B9"/>
    <w:rsid w:val="7DF84014"/>
    <w:rsid w:val="7E0E4F46"/>
    <w:rsid w:val="7E207949"/>
    <w:rsid w:val="7E5C0A47"/>
    <w:rsid w:val="7E670C75"/>
    <w:rsid w:val="7E7B0D22"/>
    <w:rsid w:val="7EE24272"/>
    <w:rsid w:val="7EEA6053"/>
    <w:rsid w:val="7F346FF4"/>
    <w:rsid w:val="7F4709D5"/>
    <w:rsid w:val="7F487C04"/>
    <w:rsid w:val="7F71379B"/>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6480</Words>
  <Characters>20825</Characters>
  <Lines>0</Lines>
  <Paragraphs>0</Paragraphs>
  <TotalTime>6</TotalTime>
  <ScaleCrop>false</ScaleCrop>
  <LinksUpToDate>false</LinksUpToDate>
  <CharactersWithSpaces>20937</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2024-11-19T02:44:56Z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D624B15633CD43C8BF9435464A96BF70</vt:lpwstr>
  </property>
</Properties>
</file>