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库尔勒市工商业联合会</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spacing w:line="560" w:lineRule="exact"/>
        <w:ind w:firstLine="640" w:firstLineChars="200"/>
        <w:rPr>
          <w:rFonts w:hint="eastAsia" w:ascii="方正仿宋_GBK" w:eastAsia="方正仿宋_GBK"/>
          <w:color w:val="000000"/>
          <w:sz w:val="31"/>
          <w:szCs w:val="31"/>
        </w:rPr>
      </w:pPr>
      <w:bookmarkStart w:id="4" w:name="_Toc31238"/>
      <w:bookmarkStart w:id="5" w:name="_Toc2151"/>
      <w:r>
        <w:rPr>
          <w:rFonts w:hint="eastAsia" w:ascii="仿宋_GB2312" w:eastAsia="仿宋_GB2312"/>
          <w:color w:val="auto"/>
          <w:sz w:val="32"/>
          <w:szCs w:val="32"/>
          <w:highlight w:val="none"/>
          <w:lang w:val="en-US" w:eastAsia="zh-CN"/>
        </w:rPr>
        <w:t>库尔勒市工商业联合会部门在市委领导下，负责贯彻落实新时代党的组织路线和以</w:t>
      </w:r>
      <w:bookmarkStart w:id="48" w:name="_GoBack"/>
      <w:bookmarkEnd w:id="48"/>
      <w:r>
        <w:rPr>
          <w:rFonts w:hint="eastAsia" w:ascii="仿宋_GB2312" w:eastAsia="仿宋_GB2312"/>
          <w:color w:val="auto"/>
          <w:sz w:val="32"/>
          <w:szCs w:val="32"/>
          <w:highlight w:val="none"/>
          <w:lang w:val="en-US" w:eastAsia="zh-CN"/>
        </w:rPr>
        <w:t>习近平同志为核心的党中央治疆方略、聚焦服务社会稳定和长治久安总目标，落实党中央、自治区党委、州委和市委关于组织体系、领导班子建设，领导干部队伍、公务员队伍、人才队伍、离退休干部建设的方针政策和决策部署。主要职责是：中国工商联业联合会是中国共产党的中国工商界组成的人民团体和民间商会，是党和政府联系非公有制经济人士的桥梁和纽带，是政府管理非公有制经济的助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库尔勒市工商业联合会</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8</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0</w:t>
      </w:r>
      <w:r>
        <w:rPr>
          <w:rFonts w:hint="eastAsia" w:ascii="仿宋_GB2312" w:hAnsi="黑体" w:eastAsia="仿宋_GB2312" w:cs="宋体"/>
          <w:bCs/>
          <w:color w:val="auto"/>
          <w:kern w:val="0"/>
          <w:sz w:val="32"/>
          <w:szCs w:val="32"/>
          <w:highlight w:val="none"/>
        </w:rPr>
        <w:t>个处室</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52.21万元，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52.21万元，使用非财政拨款结余0.00万元，年初结转和结余0.00万元。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52.21万元，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52.21万元，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增加3.88万元</w:t>
      </w:r>
      <w:r>
        <w:rPr>
          <w:rFonts w:hint="eastAsia" w:ascii="仿宋_GB2312" w:eastAsia="仿宋_GB2312"/>
          <w:color w:val="auto"/>
          <w:spacing w:val="0"/>
          <w:sz w:val="32"/>
          <w:szCs w:val="32"/>
          <w:highlight w:val="none"/>
          <w:lang w:eastAsia="zh-CN"/>
        </w:rPr>
        <w:t>，增长8.02%，主要原因是：本年增加</w:t>
      </w:r>
      <w:r>
        <w:rPr>
          <w:rFonts w:hint="eastAsia" w:ascii="仿宋_GB2312" w:eastAsia="仿宋_GB2312"/>
          <w:color w:val="auto"/>
          <w:spacing w:val="0"/>
          <w:sz w:val="32"/>
          <w:szCs w:val="32"/>
          <w:highlight w:val="none"/>
          <w:lang w:val="en-US" w:eastAsia="zh-CN"/>
        </w:rPr>
        <w:t>了</w:t>
      </w:r>
      <w:r>
        <w:rPr>
          <w:rFonts w:hint="eastAsia" w:ascii="仿宋_GB2312" w:eastAsia="仿宋_GB2312"/>
          <w:color w:val="auto"/>
          <w:spacing w:val="0"/>
          <w:sz w:val="32"/>
          <w:szCs w:val="32"/>
          <w:highlight w:val="none"/>
          <w:lang w:eastAsia="zh-CN"/>
        </w:rPr>
        <w:t>“三公”经费支出，增加</w:t>
      </w:r>
      <w:r>
        <w:rPr>
          <w:rFonts w:hint="eastAsia" w:ascii="仿宋_GB2312" w:eastAsia="仿宋_GB2312"/>
          <w:color w:val="auto"/>
          <w:spacing w:val="0"/>
          <w:sz w:val="32"/>
          <w:szCs w:val="32"/>
          <w:highlight w:val="none"/>
          <w:lang w:val="en-US" w:eastAsia="zh-CN"/>
        </w:rPr>
        <w:t>了</w:t>
      </w:r>
      <w:r>
        <w:rPr>
          <w:rFonts w:hint="eastAsia" w:ascii="仿宋_GB2312" w:eastAsia="仿宋_GB2312"/>
          <w:color w:val="auto"/>
          <w:spacing w:val="0"/>
          <w:sz w:val="32"/>
          <w:szCs w:val="32"/>
          <w:highlight w:val="none"/>
          <w:lang w:eastAsia="zh-CN"/>
        </w:rPr>
        <w:t>第七届会员代表大会会务经费项目</w:t>
      </w:r>
      <w:r>
        <w:rPr>
          <w:rFonts w:hint="eastAsia" w:ascii="仿宋_GB2312" w:eastAsia="仿宋_GB2312"/>
          <w:color w:val="auto"/>
          <w:spacing w:val="0"/>
          <w:sz w:val="32"/>
          <w:szCs w:val="32"/>
          <w:highlight w:val="none"/>
          <w:lang w:val="en-US" w:eastAsia="zh-CN"/>
        </w:rPr>
        <w:t>支出</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52.21</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52.21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本年支出52.21万元，其中：基本支出49.54万元，占94.89%；项目支出2.67万元，占5.11%；上缴上级支出0.00万元，占0.00%；经营支出0.00万元，占0.00%；对附属单位补助支出0.00万元，占0.00%。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52.21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52.21</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52.21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52.21</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增加3.88万元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增长8.02%,</w:t>
      </w:r>
      <w:r>
        <w:rPr>
          <w:rFonts w:hint="eastAsia" w:ascii="仿宋_GB2312" w:eastAsia="仿宋_GB2312"/>
          <w:color w:val="auto"/>
          <w:spacing w:val="0"/>
          <w:sz w:val="32"/>
          <w:szCs w:val="32"/>
          <w:highlight w:val="none"/>
          <w:lang w:eastAsia="zh-CN"/>
        </w:rPr>
        <w:t>主要原因是：本年增加“三公”经费支出财政拨款收入，增加第七届会员代表大会会务经费项目。与年初预算相比，年初预算数</w:t>
      </w:r>
      <w:r>
        <w:rPr>
          <w:rFonts w:hint="eastAsia" w:ascii="仿宋_GB2312" w:eastAsia="仿宋_GB2312"/>
          <w:color w:val="auto"/>
          <w:spacing w:val="0"/>
          <w:sz w:val="32"/>
          <w:szCs w:val="32"/>
          <w:highlight w:val="none"/>
          <w:lang w:val="zh-CN" w:eastAsia="zh-CN"/>
        </w:rPr>
        <w:t>46.82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52.21</w:t>
      </w:r>
      <w:r>
        <w:rPr>
          <w:rFonts w:hint="eastAsia" w:ascii="仿宋_GB2312" w:eastAsia="仿宋_GB2312"/>
          <w:color w:val="auto"/>
          <w:spacing w:val="0"/>
          <w:sz w:val="32"/>
          <w:szCs w:val="32"/>
          <w:highlight w:val="none"/>
          <w:lang w:eastAsia="zh-CN"/>
        </w:rPr>
        <w:t>万元，预决算差异率11.</w:t>
      </w:r>
      <w:r>
        <w:rPr>
          <w:rFonts w:hint="eastAsia" w:ascii="仿宋_GB2312" w:eastAsia="仿宋_GB2312"/>
          <w:color w:val="auto"/>
          <w:spacing w:val="0"/>
          <w:sz w:val="32"/>
          <w:szCs w:val="32"/>
          <w:highlight w:val="none"/>
          <w:lang w:val="en-US" w:eastAsia="zh-CN"/>
        </w:rPr>
        <w:t>51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一是本年年初新增一名工作人员追加了工资、社保、医保、公积金；二是本年年初发了2022年绩效奖金导致增加工资福利支出</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2023年度一般公共预算财政拨款支出52.21万元，占本年支出合计的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增加3.88万元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增长8.02%,</w:t>
      </w:r>
      <w:r>
        <w:rPr>
          <w:rFonts w:hint="eastAsia" w:ascii="仿宋_GB2312" w:eastAsia="仿宋_GB2312"/>
          <w:color w:val="auto"/>
          <w:spacing w:val="0"/>
          <w:sz w:val="32"/>
          <w:szCs w:val="32"/>
          <w:highlight w:val="none"/>
          <w:lang w:eastAsia="zh-CN"/>
        </w:rPr>
        <w:t>主要原因是：本年增加</w:t>
      </w:r>
      <w:r>
        <w:rPr>
          <w:rFonts w:hint="eastAsia" w:ascii="仿宋_GB2312" w:eastAsia="仿宋_GB2312"/>
          <w:color w:val="auto"/>
          <w:spacing w:val="0"/>
          <w:sz w:val="32"/>
          <w:szCs w:val="32"/>
          <w:highlight w:val="none"/>
          <w:lang w:val="en-US" w:eastAsia="zh-CN"/>
        </w:rPr>
        <w:t>了</w:t>
      </w:r>
      <w:r>
        <w:rPr>
          <w:rFonts w:hint="eastAsia" w:ascii="仿宋_GB2312" w:eastAsia="仿宋_GB2312"/>
          <w:color w:val="auto"/>
          <w:spacing w:val="0"/>
          <w:sz w:val="32"/>
          <w:szCs w:val="32"/>
          <w:highlight w:val="none"/>
          <w:lang w:eastAsia="zh-CN"/>
        </w:rPr>
        <w:t>“三公”经费支出，增加</w:t>
      </w:r>
      <w:r>
        <w:rPr>
          <w:rFonts w:hint="eastAsia" w:ascii="仿宋_GB2312" w:eastAsia="仿宋_GB2312"/>
          <w:color w:val="auto"/>
          <w:spacing w:val="0"/>
          <w:sz w:val="32"/>
          <w:szCs w:val="32"/>
          <w:highlight w:val="none"/>
          <w:lang w:val="en-US" w:eastAsia="zh-CN"/>
        </w:rPr>
        <w:t>了</w:t>
      </w:r>
      <w:r>
        <w:rPr>
          <w:rFonts w:hint="eastAsia" w:ascii="仿宋_GB2312" w:eastAsia="仿宋_GB2312"/>
          <w:color w:val="auto"/>
          <w:spacing w:val="0"/>
          <w:sz w:val="32"/>
          <w:szCs w:val="32"/>
          <w:highlight w:val="none"/>
          <w:lang w:eastAsia="zh-CN"/>
        </w:rPr>
        <w:t>第七届会员代表大会会务经费项目</w:t>
      </w:r>
      <w:r>
        <w:rPr>
          <w:rFonts w:hint="eastAsia" w:ascii="仿宋_GB2312" w:eastAsia="仿宋_GB2312"/>
          <w:color w:val="auto"/>
          <w:spacing w:val="0"/>
          <w:sz w:val="32"/>
          <w:szCs w:val="32"/>
          <w:highlight w:val="none"/>
          <w:lang w:val="en-US" w:eastAsia="zh-CN"/>
        </w:rPr>
        <w:t>支出</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46.82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52.21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11.</w:t>
      </w:r>
      <w:r>
        <w:rPr>
          <w:rFonts w:hint="eastAsia" w:ascii="仿宋_GB2312" w:eastAsia="仿宋_GB2312"/>
          <w:color w:val="auto"/>
          <w:spacing w:val="0"/>
          <w:sz w:val="32"/>
          <w:szCs w:val="32"/>
          <w:highlight w:val="none"/>
          <w:lang w:val="en-US" w:eastAsia="zh-CN"/>
        </w:rPr>
        <w:t>51</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本年年初发了2022年绩效奖金导致增加工资福利支出</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38.14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73.05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7.66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14.67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3.47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6.64</w:t>
      </w:r>
      <w:r>
        <w:rPr>
          <w:rFonts w:hint="default" w:ascii="仿宋_GB2312" w:hAnsi="Times New Roman" w:eastAsia="仿宋_GB2312" w:cs="Times New Roman"/>
          <w:color w:val="auto"/>
          <w:spacing w:val="0"/>
          <w:kern w:val="2"/>
          <w:sz w:val="32"/>
          <w:szCs w:val="32"/>
          <w:highlight w:val="none"/>
          <w:lang w:val="zh-CN" w:eastAsia="zh-CN" w:bidi="ar-SA"/>
        </w:rPr>
        <w:t>%；</w:t>
      </w:r>
    </w:p>
    <w:p>
      <w:pPr>
        <w:spacing w:line="560" w:lineRule="exact"/>
        <w:ind w:firstLine="620" w:firstLineChars="200"/>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方正仿宋_GBK" w:eastAsia="方正仿宋_GBK"/>
          <w:color w:val="000000"/>
          <w:sz w:val="31"/>
          <w:szCs w:val="31"/>
        </w:rPr>
        <w:t>4. 住房保障支出（类）</w:t>
      </w:r>
      <w:r>
        <w:rPr>
          <w:rFonts w:hint="eastAsia" w:ascii="方正仿宋_GBK" w:eastAsia="方正仿宋_GBK"/>
          <w:color w:val="000000"/>
          <w:sz w:val="31"/>
          <w:szCs w:val="31"/>
          <w:lang w:val="en-US" w:eastAsia="zh-CN"/>
        </w:rPr>
        <w:t>2.95</w:t>
      </w:r>
      <w:r>
        <w:rPr>
          <w:rFonts w:hint="eastAsia" w:ascii="方正仿宋_GBK" w:eastAsia="方正仿宋_GBK"/>
          <w:color w:val="000000"/>
          <w:sz w:val="31"/>
          <w:szCs w:val="31"/>
        </w:rPr>
        <w:t>万元，占5.</w:t>
      </w:r>
      <w:r>
        <w:rPr>
          <w:rFonts w:hint="eastAsia" w:ascii="方正仿宋_GBK" w:eastAsia="方正仿宋_GBK"/>
          <w:color w:val="000000"/>
          <w:sz w:val="31"/>
          <w:szCs w:val="31"/>
          <w:lang w:val="en-US" w:eastAsia="zh-CN"/>
        </w:rPr>
        <w:t>64</w:t>
      </w:r>
      <w:r>
        <w:rPr>
          <w:rFonts w:hint="eastAsia" w:ascii="方正仿宋_GBK" w:eastAsia="方正仿宋_GBK"/>
          <w:color w:val="000000"/>
          <w:sz w:val="31"/>
          <w:szCs w:val="31"/>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1.一般公共服务支出（类）民主党派及工商联事务（款）行政运行（项）:支出决算数为35.47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3.39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10.56%，主要原因是：</w:t>
      </w:r>
      <w:r>
        <w:rPr>
          <w:rFonts w:hint="eastAsia" w:eastAsia="仿宋_GB2312" w:cs="Times New Roman"/>
          <w:color w:val="auto"/>
          <w:kern w:val="2"/>
          <w:sz w:val="32"/>
          <w:szCs w:val="32"/>
          <w:highlight w:val="none"/>
          <w:lang w:val="en-US" w:eastAsia="zh-CN" w:bidi="ar-SA"/>
        </w:rPr>
        <w:t>一是</w:t>
      </w:r>
      <w:r>
        <w:rPr>
          <w:rFonts w:hint="eastAsia" w:ascii="仿宋_GB2312" w:eastAsia="仿宋_GB2312"/>
          <w:color w:val="auto"/>
          <w:spacing w:val="0"/>
          <w:sz w:val="32"/>
          <w:szCs w:val="32"/>
          <w:highlight w:val="none"/>
          <w:lang w:eastAsia="zh-CN"/>
        </w:rPr>
        <w:t>本年增加</w:t>
      </w:r>
      <w:r>
        <w:rPr>
          <w:rFonts w:hint="eastAsia" w:ascii="仿宋_GB2312" w:eastAsia="仿宋_GB2312"/>
          <w:color w:val="auto"/>
          <w:spacing w:val="0"/>
          <w:sz w:val="32"/>
          <w:szCs w:val="32"/>
          <w:highlight w:val="none"/>
          <w:lang w:val="en-US" w:eastAsia="zh-CN"/>
        </w:rPr>
        <w:t>了</w:t>
      </w:r>
      <w:r>
        <w:rPr>
          <w:rFonts w:hint="eastAsia" w:ascii="仿宋_GB2312" w:eastAsia="仿宋_GB2312"/>
          <w:color w:val="auto"/>
          <w:spacing w:val="0"/>
          <w:sz w:val="32"/>
          <w:szCs w:val="32"/>
          <w:highlight w:val="none"/>
          <w:lang w:eastAsia="zh-CN"/>
        </w:rPr>
        <w:t>“三公</w:t>
      </w:r>
      <w:r>
        <w:rPr>
          <w:rFonts w:hint="eastAsia" w:ascii="Times New Roman" w:hAnsi="Times New Roman" w:eastAsia="仿宋_GB2312" w:cs="Times New Roman"/>
          <w:color w:val="auto"/>
          <w:kern w:val="2"/>
          <w:sz w:val="32"/>
          <w:szCs w:val="32"/>
          <w:highlight w:val="none"/>
          <w:lang w:val="en-US" w:eastAsia="zh-CN" w:bidi="ar-SA"/>
        </w:rPr>
        <w:t>”经费支出；</w:t>
      </w:r>
      <w:r>
        <w:rPr>
          <w:rFonts w:hint="eastAsia" w:ascii="仿宋_GB2312" w:eastAsia="仿宋_GB2312"/>
          <w:color w:val="auto"/>
          <w:spacing w:val="0"/>
          <w:sz w:val="32"/>
          <w:szCs w:val="32"/>
          <w:highlight w:val="none"/>
          <w:lang w:val="en-US" w:eastAsia="zh-CN"/>
        </w:rPr>
        <w:t>二是本年年初新增一名工作人员追加了工资、社保、医保、公积金；</w:t>
      </w:r>
      <w:r>
        <w:rPr>
          <w:rFonts w:hint="eastAsia" w:eastAsia="仿宋_GB2312" w:cs="Times New Roman"/>
          <w:color w:val="auto"/>
          <w:kern w:val="2"/>
          <w:sz w:val="32"/>
          <w:szCs w:val="32"/>
          <w:highlight w:val="none"/>
          <w:lang w:val="en-US" w:eastAsia="zh-CN" w:bidi="ar-SA"/>
        </w:rPr>
        <w:t>三</w:t>
      </w:r>
      <w:r>
        <w:rPr>
          <w:rFonts w:hint="eastAsia" w:ascii="Times New Roman" w:hAnsi="Times New Roman" w:eastAsia="仿宋_GB2312" w:cs="Times New Roman"/>
          <w:color w:val="auto"/>
          <w:kern w:val="2"/>
          <w:sz w:val="32"/>
          <w:szCs w:val="32"/>
          <w:highlight w:val="none"/>
          <w:lang w:val="en-US" w:eastAsia="zh-CN" w:bidi="ar-SA"/>
        </w:rPr>
        <w:t>是本年</w:t>
      </w:r>
      <w:r>
        <w:rPr>
          <w:rFonts w:hint="eastAsia" w:eastAsia="仿宋_GB2312" w:cs="Times New Roman"/>
          <w:color w:val="auto"/>
          <w:kern w:val="2"/>
          <w:sz w:val="32"/>
          <w:szCs w:val="32"/>
          <w:highlight w:val="none"/>
          <w:lang w:val="en-US" w:eastAsia="zh-CN" w:bidi="ar-SA"/>
        </w:rPr>
        <w:t>追加</w:t>
      </w:r>
      <w:r>
        <w:rPr>
          <w:rFonts w:hint="eastAsia" w:ascii="Times New Roman" w:hAnsi="Times New Roman" w:eastAsia="仿宋_GB2312" w:cs="Times New Roman"/>
          <w:color w:val="auto"/>
          <w:kern w:val="2"/>
          <w:sz w:val="32"/>
          <w:szCs w:val="32"/>
          <w:highlight w:val="none"/>
          <w:lang w:val="en-US" w:eastAsia="zh-CN" w:bidi="ar-SA"/>
        </w:rPr>
        <w:t>了202</w:t>
      </w:r>
      <w:r>
        <w:rPr>
          <w:rFonts w:hint="eastAsia" w:eastAsia="仿宋_GB2312" w:cs="Times New Roman"/>
          <w:color w:val="auto"/>
          <w:kern w:val="2"/>
          <w:sz w:val="32"/>
          <w:szCs w:val="32"/>
          <w:highlight w:val="none"/>
          <w:lang w:val="en-US" w:eastAsia="zh-CN" w:bidi="ar-SA"/>
        </w:rPr>
        <w:t>0</w:t>
      </w:r>
      <w:r>
        <w:rPr>
          <w:rFonts w:hint="eastAsia" w:ascii="Times New Roman" w:hAnsi="Times New Roman" w:eastAsia="仿宋_GB2312" w:cs="Times New Roman"/>
          <w:color w:val="auto"/>
          <w:kern w:val="2"/>
          <w:sz w:val="32"/>
          <w:szCs w:val="32"/>
          <w:highlight w:val="none"/>
          <w:lang w:val="en-US" w:eastAsia="zh-CN" w:bidi="ar-SA"/>
        </w:rPr>
        <w:t>年</w:t>
      </w:r>
      <w:r>
        <w:rPr>
          <w:rFonts w:hint="eastAsia" w:eastAsia="仿宋_GB2312" w:cs="Times New Roman"/>
          <w:color w:val="auto"/>
          <w:kern w:val="2"/>
          <w:sz w:val="32"/>
          <w:szCs w:val="32"/>
          <w:highlight w:val="none"/>
          <w:lang w:val="en-US" w:eastAsia="zh-CN" w:bidi="ar-SA"/>
        </w:rPr>
        <w:t>下半年</w:t>
      </w:r>
      <w:r>
        <w:rPr>
          <w:rFonts w:hint="eastAsia" w:ascii="Times New Roman" w:hAnsi="Times New Roman" w:eastAsia="仿宋_GB2312" w:cs="Times New Roman"/>
          <w:color w:val="auto"/>
          <w:kern w:val="2"/>
          <w:sz w:val="32"/>
          <w:szCs w:val="32"/>
          <w:highlight w:val="none"/>
          <w:lang w:val="en-US" w:eastAsia="zh-CN" w:bidi="ar-SA"/>
        </w:rPr>
        <w:t>绩效奖金导致增加工资福利支出。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2.一般公共服务支出（类）民主党派及工商联事务（款）其他民主党派及工商联事务支出（项）:支出决算数为2.67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2.67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本年度</w:t>
      </w:r>
      <w:r>
        <w:rPr>
          <w:rFonts w:hint="eastAsia" w:ascii="仿宋_GB2312" w:eastAsia="仿宋_GB2312"/>
          <w:color w:val="auto"/>
          <w:spacing w:val="0"/>
          <w:sz w:val="32"/>
          <w:szCs w:val="32"/>
          <w:highlight w:val="none"/>
          <w:lang w:eastAsia="zh-CN"/>
        </w:rPr>
        <w:t>增加</w:t>
      </w:r>
      <w:r>
        <w:rPr>
          <w:rFonts w:hint="eastAsia" w:ascii="仿宋_GB2312" w:eastAsia="仿宋_GB2312"/>
          <w:color w:val="auto"/>
          <w:spacing w:val="0"/>
          <w:sz w:val="32"/>
          <w:szCs w:val="32"/>
          <w:highlight w:val="none"/>
          <w:lang w:val="en-US" w:eastAsia="zh-CN"/>
        </w:rPr>
        <w:t>了</w:t>
      </w:r>
      <w:r>
        <w:rPr>
          <w:rFonts w:hint="eastAsia" w:ascii="仿宋_GB2312" w:eastAsia="仿宋_GB2312"/>
          <w:color w:val="auto"/>
          <w:spacing w:val="0"/>
          <w:sz w:val="32"/>
          <w:szCs w:val="32"/>
          <w:highlight w:val="none"/>
          <w:lang w:eastAsia="zh-CN"/>
        </w:rPr>
        <w:t>第七届会员代表大会会务经费项目</w:t>
      </w:r>
      <w:r>
        <w:rPr>
          <w:rFonts w:hint="eastAsia" w:ascii="仿宋_GB2312" w:eastAsia="仿宋_GB2312"/>
          <w:color w:val="auto"/>
          <w:spacing w:val="0"/>
          <w:sz w:val="32"/>
          <w:szCs w:val="32"/>
          <w:highlight w:val="none"/>
          <w:lang w:val="en-US" w:eastAsia="zh-CN"/>
        </w:rPr>
        <w:t>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.社会保障和就业支出（类）行政事业单位养老支出（款）行政单位离退休（项）:支出决算数为3.79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8.92%，主要原因是：本年</w:t>
      </w:r>
      <w:r>
        <w:rPr>
          <w:rFonts w:hint="eastAsia" w:eastAsia="仿宋_GB2312" w:cs="Times New Roman"/>
          <w:color w:val="auto"/>
          <w:kern w:val="2"/>
          <w:sz w:val="32"/>
          <w:szCs w:val="32"/>
          <w:highlight w:val="none"/>
          <w:lang w:val="en-US" w:eastAsia="zh-CN" w:bidi="ar-SA"/>
        </w:rPr>
        <w:t>追加了2020</w:t>
      </w:r>
      <w:r>
        <w:rPr>
          <w:rFonts w:hint="eastAsia" w:ascii="Times New Roman" w:hAnsi="Times New Roman" w:eastAsia="仿宋_GB2312" w:cs="Times New Roman"/>
          <w:color w:val="auto"/>
          <w:kern w:val="2"/>
          <w:sz w:val="32"/>
          <w:szCs w:val="32"/>
          <w:highlight w:val="none"/>
          <w:lang w:val="en-US" w:eastAsia="zh-CN" w:bidi="ar-SA"/>
        </w:rPr>
        <w:t>年</w:t>
      </w:r>
      <w:r>
        <w:rPr>
          <w:rFonts w:hint="eastAsia" w:eastAsia="仿宋_GB2312" w:cs="Times New Roman"/>
          <w:color w:val="auto"/>
          <w:kern w:val="2"/>
          <w:sz w:val="32"/>
          <w:szCs w:val="32"/>
          <w:highlight w:val="none"/>
          <w:lang w:val="en-US" w:eastAsia="zh-CN" w:bidi="ar-SA"/>
        </w:rPr>
        <w:t>下半年</w:t>
      </w:r>
      <w:r>
        <w:rPr>
          <w:rFonts w:hint="eastAsia" w:ascii="Times New Roman" w:hAnsi="Times New Roman" w:eastAsia="仿宋_GB2312" w:cs="Times New Roman"/>
          <w:color w:val="auto"/>
          <w:kern w:val="2"/>
          <w:sz w:val="32"/>
          <w:szCs w:val="32"/>
          <w:highlight w:val="none"/>
          <w:lang w:val="en-US" w:eastAsia="zh-CN" w:bidi="ar-SA"/>
        </w:rPr>
        <w:t>绩效奖金导致增加行政单位离退休支出</w:t>
      </w:r>
      <w:r>
        <w:rPr>
          <w:rFonts w:hint="eastAsia" w:eastAsia="仿宋_GB2312" w:cs="Times New Roman"/>
          <w:color w:val="auto"/>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社会保障和就业支出（类）行政事业单位养老支出（款）机关事业单位基本养老保险缴费支出（项）:支出决算数为3.86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0.13%，主要原因是：</w:t>
      </w:r>
      <w:r>
        <w:rPr>
          <w:rFonts w:hint="eastAsia" w:eastAsia="仿宋_GB2312" w:cs="Times New Roman"/>
          <w:color w:val="auto"/>
          <w:kern w:val="2"/>
          <w:sz w:val="32"/>
          <w:szCs w:val="32"/>
          <w:highlight w:val="none"/>
          <w:lang w:val="en-US" w:eastAsia="zh-CN" w:bidi="ar-SA"/>
        </w:rPr>
        <w:t>本年年初基数调整，导致</w:t>
      </w:r>
      <w:r>
        <w:rPr>
          <w:rFonts w:hint="eastAsia" w:ascii="Times New Roman" w:hAnsi="Times New Roman" w:eastAsia="仿宋_GB2312" w:cs="Times New Roman"/>
          <w:color w:val="auto"/>
          <w:kern w:val="2"/>
          <w:sz w:val="32"/>
          <w:szCs w:val="32"/>
          <w:highlight w:val="none"/>
          <w:lang w:val="en-US" w:eastAsia="zh-CN" w:bidi="ar-SA"/>
        </w:rPr>
        <w:t>机关事业单位基本养老保险缴费支出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.卫生健康支出（类）行政事业单位医疗（款）行政单位医疗（项）:支出决算数为2.60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1.84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41.47%，主要原因是：</w:t>
      </w:r>
      <w:r>
        <w:rPr>
          <w:rFonts w:hint="eastAsia" w:eastAsia="仿宋_GB2312" w:cs="Times New Roman"/>
          <w:color w:val="auto"/>
          <w:kern w:val="2"/>
          <w:sz w:val="32"/>
          <w:szCs w:val="32"/>
          <w:highlight w:val="none"/>
          <w:lang w:val="en-US" w:eastAsia="zh-CN" w:bidi="ar-SA"/>
        </w:rPr>
        <w:t>本年度9月减少了一名工作人员导致</w:t>
      </w:r>
      <w:r>
        <w:rPr>
          <w:rFonts w:hint="eastAsia" w:ascii="Times New Roman" w:hAnsi="Times New Roman" w:eastAsia="仿宋_GB2312" w:cs="Times New Roman"/>
          <w:color w:val="auto"/>
          <w:kern w:val="2"/>
          <w:sz w:val="32"/>
          <w:szCs w:val="32"/>
          <w:highlight w:val="none"/>
          <w:lang w:val="en-US" w:eastAsia="zh-CN" w:bidi="ar-SA"/>
        </w:rPr>
        <w:t>行政单位医疗</w:t>
      </w:r>
      <w:r>
        <w:rPr>
          <w:rFonts w:hint="eastAsia" w:eastAsia="仿宋_GB2312" w:cs="Times New Roman"/>
          <w:color w:val="auto"/>
          <w:kern w:val="2"/>
          <w:sz w:val="32"/>
          <w:szCs w:val="32"/>
          <w:highlight w:val="none"/>
          <w:lang w:val="en-US" w:eastAsia="zh-CN" w:bidi="ar-SA"/>
        </w:rPr>
        <w:t>费支出减少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6</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.卫生健康支出（类）行政事业单位医疗（款）公务员医疗补助（项）:支出决算数为0.87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0.71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44.87%，主要原因是</w:t>
      </w:r>
      <w:r>
        <w:rPr>
          <w:rFonts w:hint="eastAsia" w:eastAsia="仿宋_GB2312" w:cs="Times New Roman"/>
          <w:color w:val="auto"/>
          <w:kern w:val="2"/>
          <w:sz w:val="32"/>
          <w:szCs w:val="32"/>
          <w:highlight w:val="none"/>
          <w:lang w:val="en-US" w:eastAsia="zh-CN" w:bidi="ar-SA"/>
        </w:rPr>
        <w:t>：因上年工作人员多申请公务员医疗补助，年底清退国库，2023年公务员医疗准确核算</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.住房保障支出（类）住房改革支出（款）住房公积金（项）:支出决算数为2.95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1.81%，主要原因是：</w:t>
      </w:r>
      <w:r>
        <w:rPr>
          <w:rFonts w:hint="eastAsia" w:eastAsia="仿宋_GB2312" w:cs="Times New Roman"/>
          <w:color w:val="auto"/>
          <w:kern w:val="2"/>
          <w:sz w:val="32"/>
          <w:szCs w:val="32"/>
          <w:highlight w:val="none"/>
          <w:lang w:val="en-US" w:eastAsia="zh-CN" w:bidi="ar-SA"/>
        </w:rPr>
        <w:t>一是本年年初基数调整增加了</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eastAsia="仿宋_GB2312" w:cs="Times New Roman"/>
          <w:color w:val="auto"/>
          <w:kern w:val="2"/>
          <w:sz w:val="32"/>
          <w:szCs w:val="32"/>
          <w:highlight w:val="none"/>
          <w:lang w:val="en-US" w:eastAsia="zh-CN" w:bidi="ar-SA"/>
        </w:rPr>
        <w:t>支出，二是</w:t>
      </w:r>
      <w:r>
        <w:rPr>
          <w:rFonts w:hint="eastAsia" w:ascii="仿宋_GB2312" w:eastAsia="仿宋_GB2312"/>
          <w:color w:val="auto"/>
          <w:spacing w:val="0"/>
          <w:sz w:val="32"/>
          <w:szCs w:val="32"/>
          <w:highlight w:val="none"/>
          <w:lang w:val="en-US" w:eastAsia="zh-CN"/>
        </w:rPr>
        <w:t>本年新增一名工作人员年中追加了公积金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49.54</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45.76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基本工资、津贴补贴、奖金、机关事业单位基本养老保险缴费、职工基本医疗保险缴费、公务员医疗补助缴费、其他社会保障缴费、住房公积金、退休费、生活补助、医疗费补助。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3.77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办公费、差旅费、工会经费、公务用车运行维护费。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“三公”经费支出2.35万元，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增加1.73万元，</w:t>
      </w:r>
      <w:r>
        <w:rPr>
          <w:rFonts w:hint="eastAsia" w:ascii="仿宋_GB2312" w:eastAsia="仿宋_GB2312"/>
          <w:color w:val="auto"/>
          <w:spacing w:val="0"/>
          <w:sz w:val="32"/>
          <w:szCs w:val="32"/>
          <w:highlight w:val="none"/>
          <w:lang w:val="en-US" w:eastAsia="zh-CN"/>
        </w:rPr>
        <w:t>增长280.97%,</w:t>
      </w:r>
      <w:r>
        <w:rPr>
          <w:rFonts w:hint="eastAsia" w:ascii="仿宋_GB2312" w:eastAsia="仿宋_GB2312"/>
          <w:color w:val="auto"/>
          <w:sz w:val="32"/>
          <w:szCs w:val="32"/>
          <w:highlight w:val="none"/>
          <w:lang w:val="zh-CN" w:eastAsia="zh-CN"/>
        </w:rPr>
        <w:t>主要原因是：本年</w:t>
      </w:r>
      <w:r>
        <w:rPr>
          <w:rFonts w:hint="eastAsia" w:ascii="仿宋_GB2312" w:eastAsia="仿宋_GB2312"/>
          <w:color w:val="auto"/>
          <w:sz w:val="32"/>
          <w:szCs w:val="32"/>
          <w:highlight w:val="none"/>
          <w:lang w:val="en-US" w:eastAsia="zh-CN"/>
        </w:rPr>
        <w:t>度我</w:t>
      </w:r>
      <w:r>
        <w:rPr>
          <w:rFonts w:hint="eastAsia" w:ascii="仿宋_GB2312" w:eastAsia="仿宋_GB2312"/>
          <w:color w:val="auto"/>
          <w:sz w:val="32"/>
          <w:szCs w:val="32"/>
          <w:highlight w:val="none"/>
          <w:lang w:val="zh-CN" w:eastAsia="zh-CN"/>
        </w:rPr>
        <w:t>单位车辆进行大型保养。其中：因公出国（境）费支出0.00万元，占0.00%，比上年增加0.00万元，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w:t>
      </w:r>
      <w:r>
        <w:rPr>
          <w:rFonts w:hint="eastAsia" w:ascii="方正仿宋_GBK" w:eastAsia="方正仿宋_GBK"/>
          <w:color w:val="000000"/>
          <w:sz w:val="31"/>
          <w:szCs w:val="31"/>
        </w:rPr>
        <w:t>本年</w:t>
      </w:r>
      <w:r>
        <w:rPr>
          <w:rFonts w:hint="eastAsia" w:ascii="方正仿宋_GBK" w:eastAsia="方正仿宋_GBK"/>
          <w:color w:val="000000"/>
          <w:sz w:val="31"/>
          <w:szCs w:val="31"/>
          <w:lang w:val="en-US" w:eastAsia="zh-CN"/>
        </w:rPr>
        <w:t>度</w:t>
      </w:r>
      <w:r>
        <w:rPr>
          <w:rFonts w:hint="eastAsia" w:ascii="方正仿宋_GBK" w:eastAsia="方正仿宋_GBK"/>
          <w:color w:val="000000"/>
          <w:sz w:val="31"/>
          <w:szCs w:val="31"/>
        </w:rPr>
        <w:t>没有因公出国（境）费支出</w:t>
      </w:r>
      <w:r>
        <w:rPr>
          <w:rFonts w:hint="eastAsia" w:ascii="仿宋_GB2312" w:eastAsia="仿宋_GB2312"/>
          <w:color w:val="auto"/>
          <w:sz w:val="32"/>
          <w:szCs w:val="32"/>
          <w:highlight w:val="none"/>
          <w:lang w:val="zh-CN" w:eastAsia="zh-CN"/>
        </w:rPr>
        <w:t>；公务用车购置及运行维护费支出2.35万元，占100.00%，比上年增加1.73万元，</w:t>
      </w:r>
      <w:r>
        <w:rPr>
          <w:rFonts w:hint="eastAsia" w:ascii="仿宋_GB2312" w:eastAsia="仿宋_GB2312"/>
          <w:color w:val="auto"/>
          <w:spacing w:val="0"/>
          <w:sz w:val="32"/>
          <w:szCs w:val="32"/>
          <w:highlight w:val="none"/>
          <w:lang w:val="en-US" w:eastAsia="zh-CN"/>
        </w:rPr>
        <w:t>增长280.97%,</w:t>
      </w:r>
      <w:r>
        <w:rPr>
          <w:rFonts w:hint="eastAsia" w:ascii="仿宋_GB2312" w:eastAsia="仿宋_GB2312"/>
          <w:color w:val="auto"/>
          <w:sz w:val="32"/>
          <w:szCs w:val="32"/>
          <w:highlight w:val="none"/>
          <w:lang w:val="zh-CN" w:eastAsia="zh-CN"/>
        </w:rPr>
        <w:t>主要原因是：本年</w:t>
      </w:r>
      <w:r>
        <w:rPr>
          <w:rFonts w:hint="eastAsia" w:ascii="仿宋_GB2312" w:eastAsia="仿宋_GB2312"/>
          <w:color w:val="auto"/>
          <w:sz w:val="32"/>
          <w:szCs w:val="32"/>
          <w:highlight w:val="none"/>
          <w:lang w:val="en-US" w:eastAsia="zh-CN"/>
        </w:rPr>
        <w:t>度我</w:t>
      </w:r>
      <w:r>
        <w:rPr>
          <w:rFonts w:hint="eastAsia" w:ascii="仿宋_GB2312" w:eastAsia="仿宋_GB2312"/>
          <w:color w:val="auto"/>
          <w:sz w:val="32"/>
          <w:szCs w:val="32"/>
          <w:highlight w:val="none"/>
          <w:lang w:val="zh-CN" w:eastAsia="zh-CN"/>
        </w:rPr>
        <w:t>单位车辆进行大型保养；公务接待费支出0.00万元，占0.00%，比上年增加0.00万元，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w:t>
      </w:r>
      <w:r>
        <w:rPr>
          <w:rFonts w:hint="eastAsia" w:ascii="方正仿宋_GBK" w:eastAsia="方正仿宋_GBK"/>
          <w:color w:val="000000"/>
          <w:sz w:val="31"/>
          <w:szCs w:val="31"/>
        </w:rPr>
        <w:t>本年</w:t>
      </w:r>
      <w:r>
        <w:rPr>
          <w:rFonts w:hint="eastAsia" w:ascii="方正仿宋_GBK" w:eastAsia="方正仿宋_GBK"/>
          <w:color w:val="000000"/>
          <w:sz w:val="31"/>
          <w:szCs w:val="31"/>
          <w:lang w:val="en-US" w:eastAsia="zh-CN"/>
        </w:rPr>
        <w:t>度</w:t>
      </w:r>
      <w:r>
        <w:rPr>
          <w:rFonts w:hint="eastAsia" w:ascii="方正仿宋_GBK" w:eastAsia="方正仿宋_GBK"/>
          <w:color w:val="000000"/>
          <w:sz w:val="31"/>
          <w:szCs w:val="31"/>
        </w:rPr>
        <w:t>没有公务接待费支出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方正仿宋_GBK" w:eastAsia="方正仿宋_GBK"/>
          <w:color w:val="000000"/>
          <w:sz w:val="31"/>
          <w:szCs w:val="31"/>
        </w:rPr>
        <w:t>本年没有因公出国（境）费支出，无开支内容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公务用车购置及运行维护费2.35万元，其中：公务用车购置费0.00万元，公务用车运行维护费2.35万元。公务用车运行维护费开支内容包括：</w:t>
      </w:r>
      <w:r>
        <w:rPr>
          <w:rFonts w:hint="eastAsia" w:ascii="方正仿宋_GBK" w:eastAsia="方正仿宋_GBK"/>
          <w:color w:val="000000"/>
          <w:sz w:val="31"/>
          <w:szCs w:val="31"/>
        </w:rPr>
        <w:t>车辆保险费</w:t>
      </w:r>
      <w:r>
        <w:rPr>
          <w:rFonts w:hint="eastAsia" w:ascii="方正仿宋_GBK" w:eastAsia="方正仿宋_GBK"/>
          <w:color w:val="000000"/>
          <w:sz w:val="31"/>
          <w:szCs w:val="31"/>
          <w:lang w:eastAsia="zh-CN"/>
        </w:rPr>
        <w:t>、</w:t>
      </w:r>
      <w:r>
        <w:rPr>
          <w:rFonts w:hint="eastAsia" w:ascii="方正仿宋_GBK" w:eastAsia="方正仿宋_GBK"/>
          <w:color w:val="000000"/>
          <w:sz w:val="31"/>
          <w:szCs w:val="31"/>
        </w:rPr>
        <w:t>维修维护费用</w:t>
      </w:r>
      <w:r>
        <w:rPr>
          <w:rFonts w:hint="eastAsia" w:ascii="方正仿宋_GBK" w:eastAsia="方正仿宋_GBK"/>
          <w:color w:val="000000"/>
          <w:sz w:val="31"/>
          <w:szCs w:val="31"/>
          <w:lang w:eastAsia="zh-CN"/>
        </w:rPr>
        <w:t>、</w:t>
      </w:r>
      <w:r>
        <w:rPr>
          <w:rFonts w:hint="eastAsia" w:ascii="方正仿宋_GBK" w:eastAsia="方正仿宋_GBK"/>
          <w:color w:val="000000"/>
          <w:sz w:val="31"/>
          <w:szCs w:val="31"/>
        </w:rPr>
        <w:t>车辆燃油费</w:t>
      </w:r>
      <w:r>
        <w:rPr>
          <w:rFonts w:hint="eastAsia" w:ascii="仿宋_GB2312" w:eastAsia="仿宋_GB2312"/>
          <w:color w:val="auto"/>
          <w:sz w:val="32"/>
          <w:szCs w:val="32"/>
          <w:highlight w:val="none"/>
          <w:lang w:val="zh-CN" w:eastAsia="zh-CN"/>
        </w:rPr>
        <w:t>。公务用车购置数0辆，公务用车保有量1辆。国有资产占用情况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方正仿宋_GBK" w:eastAsia="方正仿宋_GBK"/>
          <w:color w:val="000000"/>
          <w:sz w:val="31"/>
          <w:szCs w:val="31"/>
        </w:rPr>
        <w:t>本年没有公务接待费支出，无开支内容</w:t>
      </w:r>
      <w:r>
        <w:rPr>
          <w:rFonts w:hint="eastAsia" w:ascii="仿宋_GB2312" w:eastAsia="仿宋_GB2312"/>
          <w:color w:val="auto"/>
          <w:sz w:val="32"/>
          <w:szCs w:val="32"/>
          <w:highlight w:val="none"/>
          <w:lang w:val="zh-CN" w:eastAsia="zh-CN"/>
        </w:rPr>
        <w:t>。单位全年安排的国内公务接待0批次，0人次。</w:t>
      </w:r>
    </w:p>
    <w:p>
      <w:pPr>
        <w:spacing w:line="560" w:lineRule="exact"/>
        <w:ind w:firstLine="640" w:firstLineChars="200"/>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预算数2.35万元，决算数2.35万元，预决算差异率0.00%，主要原因是：</w:t>
      </w:r>
      <w:r>
        <w:rPr>
          <w:rFonts w:hint="eastAsia" w:ascii="方正仿宋_GBK" w:eastAsia="方正仿宋_GBK"/>
          <w:color w:val="000000"/>
          <w:sz w:val="31"/>
          <w:szCs w:val="31"/>
          <w:lang w:val="en-US" w:eastAsia="zh-CN"/>
        </w:rPr>
        <w:t>严格按照</w:t>
      </w:r>
      <w:r>
        <w:rPr>
          <w:rFonts w:hint="eastAsia" w:ascii="方正仿宋_GBK" w:eastAsia="方正仿宋_GBK"/>
          <w:color w:val="000000"/>
          <w:sz w:val="31"/>
          <w:szCs w:val="31"/>
        </w:rPr>
        <w:t>预算内控制支出，</w:t>
      </w:r>
      <w:r>
        <w:rPr>
          <w:rFonts w:hint="eastAsia" w:ascii="方正仿宋_GBK" w:eastAsia="方正仿宋_GBK"/>
          <w:color w:val="000000"/>
          <w:sz w:val="31"/>
          <w:szCs w:val="31"/>
          <w:lang w:val="en-US" w:eastAsia="zh-CN"/>
        </w:rPr>
        <w:t>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方正仿宋_GBK" w:eastAsia="方正仿宋_GBK"/>
          <w:color w:val="000000"/>
          <w:sz w:val="31"/>
          <w:szCs w:val="31"/>
        </w:rPr>
        <w:t>本单位202</w:t>
      </w:r>
      <w:r>
        <w:rPr>
          <w:rFonts w:hint="eastAsia" w:ascii="方正仿宋_GBK" w:eastAsia="方正仿宋_GBK"/>
          <w:color w:val="000000"/>
          <w:sz w:val="31"/>
          <w:szCs w:val="31"/>
          <w:lang w:val="en-US" w:eastAsia="zh-CN"/>
        </w:rPr>
        <w:t>3</w:t>
      </w:r>
      <w:r>
        <w:rPr>
          <w:rFonts w:hint="eastAsia" w:ascii="方正仿宋_GBK" w:eastAsia="方正仿宋_GBK"/>
          <w:color w:val="000000"/>
          <w:sz w:val="31"/>
          <w:szCs w:val="31"/>
        </w:rPr>
        <w:t>年没有因公出国（境）费支出</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方正仿宋_GBK" w:eastAsia="方正仿宋_GBK"/>
          <w:color w:val="000000"/>
          <w:sz w:val="31"/>
          <w:szCs w:val="31"/>
        </w:rPr>
        <w:t>本单位202</w:t>
      </w:r>
      <w:r>
        <w:rPr>
          <w:rFonts w:hint="eastAsia" w:ascii="方正仿宋_GBK" w:eastAsia="方正仿宋_GBK"/>
          <w:color w:val="000000"/>
          <w:sz w:val="31"/>
          <w:szCs w:val="31"/>
          <w:lang w:val="en-US" w:eastAsia="zh-CN"/>
        </w:rPr>
        <w:t>3</w:t>
      </w:r>
      <w:r>
        <w:rPr>
          <w:rFonts w:hint="eastAsia" w:ascii="方正仿宋_GBK" w:eastAsia="方正仿宋_GBK"/>
          <w:color w:val="000000"/>
          <w:sz w:val="31"/>
          <w:szCs w:val="31"/>
        </w:rPr>
        <w:t>年没有公务用车购置费支出</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预算数2.35万元，决算数2.35万元，预决算差异率0.00%，主要原因是：</w:t>
      </w:r>
      <w:r>
        <w:rPr>
          <w:rFonts w:hint="eastAsia" w:ascii="方正仿宋_GBK" w:eastAsia="方正仿宋_GBK"/>
          <w:color w:val="000000"/>
          <w:sz w:val="31"/>
          <w:szCs w:val="31"/>
          <w:lang w:val="en-US" w:eastAsia="zh-CN"/>
        </w:rPr>
        <w:t>严格按照</w:t>
      </w:r>
      <w:r>
        <w:rPr>
          <w:rFonts w:hint="eastAsia" w:ascii="方正仿宋_GBK" w:eastAsia="方正仿宋_GBK"/>
          <w:color w:val="000000"/>
          <w:sz w:val="31"/>
          <w:szCs w:val="31"/>
        </w:rPr>
        <w:t>预算内控制支出，</w:t>
      </w:r>
      <w:r>
        <w:rPr>
          <w:rFonts w:hint="eastAsia" w:ascii="方正仿宋_GBK" w:eastAsia="方正仿宋_GBK"/>
          <w:color w:val="000000"/>
          <w:sz w:val="31"/>
          <w:szCs w:val="31"/>
          <w:lang w:val="en-US" w:eastAsia="zh-CN"/>
        </w:rPr>
        <w:t>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方正仿宋_GBK" w:eastAsia="方正仿宋_GBK"/>
          <w:color w:val="000000"/>
          <w:sz w:val="31"/>
          <w:szCs w:val="31"/>
        </w:rPr>
        <w:t>本单位没有公务接待费支出。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库尔勒市工商业联合会（行政单位和参照公务员法管理事业单位）机关运行经费支出3.77万元，</w:t>
      </w:r>
      <w:r>
        <w:rPr>
          <w:rFonts w:hint="eastAsia" w:ascii="Times New Roman" w:hAnsi="Times New Roman" w:eastAsia="仿宋_GB2312" w:cs="Times New Roman"/>
          <w:color w:val="auto"/>
          <w:sz w:val="32"/>
          <w:szCs w:val="32"/>
          <w:highlight w:val="none"/>
          <w:lang w:val="zh-CN" w:eastAsia="zh-CN"/>
        </w:rPr>
        <w:t>比上年增加2.40万元，增长174.29%，主要原因是：本年增加</w:t>
      </w:r>
      <w:r>
        <w:rPr>
          <w:rFonts w:hint="eastAsia" w:eastAsia="仿宋_GB2312" w:cs="Times New Roman"/>
          <w:color w:val="auto"/>
          <w:sz w:val="32"/>
          <w:szCs w:val="32"/>
          <w:highlight w:val="none"/>
          <w:lang w:val="en-US" w:eastAsia="zh-CN"/>
        </w:rPr>
        <w:t>了</w:t>
      </w:r>
      <w:r>
        <w:rPr>
          <w:rFonts w:hint="eastAsia" w:ascii="Times New Roman" w:hAnsi="Times New Roman" w:eastAsia="仿宋_GB2312" w:cs="Times New Roman"/>
          <w:color w:val="auto"/>
          <w:sz w:val="32"/>
          <w:szCs w:val="32"/>
          <w:highlight w:val="none"/>
          <w:lang w:val="zh-CN" w:eastAsia="zh-CN"/>
        </w:rPr>
        <w:t>“三公”经费支出，差费支出</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2.32万元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其中：政府采购货物支出0.00万元、政府采购工程支出0.00万元、政府采购服务支出2.32万元。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授予中小企业合同金额2.32万元，占政府采购支出总额的100.00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，其中：授予小微企业合同金额1.98万元，占政府采购支出总额的85.25</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17.43</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屋0.00平方米，价值0.00万元。车辆1辆，价值10.00万元，其中：副部（省）级及以上领导用车0辆、主要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方正仿宋_GBK" w:eastAsia="方正仿宋_GBK"/>
          <w:color w:val="000000"/>
          <w:sz w:val="31"/>
          <w:szCs w:val="31"/>
        </w:rPr>
        <w:t>下基层调研指导业务工作</w:t>
      </w:r>
      <w:r>
        <w:rPr>
          <w:rFonts w:hint="eastAsia" w:ascii="方正仿宋_GBK" w:eastAsia="方正仿宋_GBK"/>
          <w:color w:val="000000"/>
          <w:sz w:val="31"/>
          <w:szCs w:val="31"/>
          <w:lang w:val="en-US" w:eastAsia="zh-CN"/>
        </w:rPr>
        <w:t>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pStyle w:val="8"/>
        <w:shd w:val="clear" w:color="auto" w:fill="FFFFFF"/>
        <w:spacing w:beforeAutospacing="0" w:afterAutospacing="0" w:line="560" w:lineRule="exact"/>
        <w:ind w:firstLine="516"/>
        <w:jc w:val="both"/>
        <w:rPr>
          <w:rFonts w:hint="eastAsia" w:ascii="Times New Roman" w:hAnsi="Times New Roman" w:eastAsia="仿宋_GB2312" w:cs="Times New Roman"/>
          <w:color w:val="auto"/>
          <w:kern w:val="2"/>
          <w:sz w:val="32"/>
          <w:szCs w:val="32"/>
          <w:highlight w:val="none"/>
          <w:lang w:val="zh-CN" w:eastAsia="zh-CN" w:bidi="ar-SA"/>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w:t>
      </w:r>
      <w:r>
        <w:rPr>
          <w:rFonts w:hint="eastAsia" w:ascii="Times New Roman" w:hAnsi="Times New Roman" w:eastAsia="仿宋_GB2312" w:cs="Times New Roman"/>
          <w:color w:val="auto"/>
          <w:kern w:val="2"/>
          <w:sz w:val="32"/>
          <w:szCs w:val="32"/>
          <w:highlight w:val="none"/>
          <w:lang w:val="en-US" w:eastAsia="zh-CN" w:bidi="ar-SA"/>
        </w:rPr>
        <w:t>整体支出绩</w:t>
      </w:r>
      <w:r>
        <w:rPr>
          <w:rFonts w:hint="eastAsia" w:ascii="Times New Roman" w:hAnsi="Times New Roman" w:eastAsia="仿宋_GB2312" w:cs="Times New Roman"/>
          <w:color w:val="auto"/>
          <w:kern w:val="2"/>
          <w:sz w:val="32"/>
          <w:szCs w:val="32"/>
          <w:highlight w:val="none"/>
          <w:lang w:val="zh-CN" w:eastAsia="zh-CN" w:bidi="ar-SA"/>
        </w:rPr>
        <w:t>效自评</w:t>
      </w:r>
      <w:r>
        <w:rPr>
          <w:rFonts w:hint="eastAsia" w:ascii="Times New Roman" w:hAnsi="Times New Roman" w:eastAsia="仿宋_GB2312" w:cs="Times New Roman"/>
          <w:color w:val="auto"/>
          <w:kern w:val="2"/>
          <w:sz w:val="32"/>
          <w:szCs w:val="32"/>
          <w:highlight w:val="none"/>
          <w:lang w:val="en-US" w:eastAsia="zh-CN" w:bidi="ar-SA"/>
        </w:rPr>
        <w:t>表1个，全年预算总额52.21万元，实际执行总额52.21</w:t>
      </w:r>
      <w:r>
        <w:rPr>
          <w:rFonts w:hint="eastAsia" w:ascii="Times New Roman" w:hAnsi="Times New Roman" w:eastAsia="仿宋_GB2312" w:cs="Times New Roman"/>
          <w:color w:val="auto"/>
          <w:kern w:val="2"/>
          <w:sz w:val="32"/>
          <w:szCs w:val="32"/>
          <w:highlight w:val="none"/>
          <w:lang w:val="zh-CN" w:eastAsia="zh-CN" w:bidi="ar-SA"/>
        </w:rPr>
        <w:t>万</w:t>
      </w:r>
      <w:r>
        <w:rPr>
          <w:rFonts w:hint="eastAsia" w:ascii="Times New Roman" w:hAnsi="Times New Roman" w:eastAsia="仿宋_GB2312" w:cs="Times New Roman"/>
          <w:color w:val="auto"/>
          <w:kern w:val="2"/>
          <w:sz w:val="32"/>
          <w:szCs w:val="32"/>
          <w:highlight w:val="none"/>
          <w:lang w:val="en-US" w:eastAsia="zh-CN" w:bidi="ar-SA"/>
        </w:rPr>
        <w:t>元；预算绩效评价</w:t>
      </w:r>
      <w:r>
        <w:rPr>
          <w:rFonts w:hint="eastAsia" w:ascii="Times New Roman" w:hAnsi="Times New Roman" w:eastAsia="仿宋_GB2312" w:cs="Times New Roman"/>
          <w:color w:val="auto"/>
          <w:kern w:val="2"/>
          <w:sz w:val="32"/>
          <w:szCs w:val="32"/>
          <w:highlight w:val="none"/>
          <w:lang w:val="zh-CN" w:eastAsia="zh-CN" w:bidi="ar-SA"/>
        </w:rPr>
        <w:t>项目</w:t>
      </w:r>
      <w:r>
        <w:rPr>
          <w:rFonts w:hint="eastAsia" w:ascii="Times New Roman" w:hAnsi="Times New Roman" w:eastAsia="仿宋_GB2312" w:cs="Times New Roman"/>
          <w:color w:val="auto"/>
          <w:kern w:val="2"/>
          <w:sz w:val="32"/>
          <w:szCs w:val="32"/>
          <w:highlight w:val="none"/>
          <w:lang w:val="en-US" w:eastAsia="zh-CN" w:bidi="ar-SA"/>
        </w:rPr>
        <w:t>1个，全年预算数2.67万元，全年执行数2.67万元。</w:t>
      </w:r>
      <w:r>
        <w:rPr>
          <w:rFonts w:hint="eastAsia" w:ascii="Times New Roman" w:hAnsi="Times New Roman" w:eastAsia="仿宋_GB2312" w:cs="Times New Roman"/>
          <w:color w:val="auto"/>
          <w:kern w:val="2"/>
          <w:sz w:val="32"/>
          <w:szCs w:val="32"/>
          <w:highlight w:val="none"/>
          <w:lang w:val="zh-CN" w:eastAsia="zh-CN" w:bidi="ar-SA"/>
        </w:rPr>
        <w:t>预算绩效管理取得的成效：</w:t>
      </w:r>
      <w:r>
        <w:rPr>
          <w:rFonts w:hint="eastAsia" w:ascii="Times New Roman" w:hAnsi="Times New Roman" w:eastAsia="仿宋_GB2312" w:cs="Times New Roman"/>
          <w:color w:val="auto"/>
          <w:kern w:val="2"/>
          <w:sz w:val="32"/>
          <w:szCs w:val="32"/>
          <w:highlight w:val="none"/>
          <w:lang w:val="en-US" w:eastAsia="zh-CN" w:bidi="ar-SA"/>
        </w:rPr>
        <w:t>一是通过加强预算收支管理、不断建立健全内部管理制度、梳理内部管理流程，部门整体支出管理情况得到提升。二是预算执行中，本单位的支出总额控制在预算总额内，整体绩效完成率较好。发现的问题及原因：一是对预算绩效的认识还不够深入，相关知识了解还不够、掌握还不够多，把绩效管理简单等同于工作目标、工作考核和业务管理；二是资金管理水平有待进一步提高，财务审核还需进一步加强。下一步改进措施：一是建立健全的预算绩效管理体制，加强对预算绩效相关知识的了解和掌握，促进绩效管理工作向广度和深度延伸，切实提高部门预算收支管理水平；二是加强财务管理，严格财务审核，在费用报账支付时，按照预算规定费用项目和用途进行资金使用审核、列报支付、财务核算，杜绝超支现象发生。具体项目自评情况附绩效自评表及自评报告。</w:t>
      </w:r>
    </w:p>
    <w:p>
      <w:pPr>
        <w:keepNext w:val="0"/>
        <w:keepLines w:val="0"/>
        <w:pageBreakBefore w:val="0"/>
        <w:widowControl w:val="0"/>
        <w:kinsoku/>
        <w:wordWrap/>
        <w:overflowPunct/>
        <w:topLinePunct w:val="0"/>
        <w:bidi w:val="0"/>
        <w:adjustRightInd/>
        <w:snapToGrid/>
        <w:spacing w:line="240" w:lineRule="auto"/>
        <w:ind w:firstLine="320" w:firstLineChars="1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59264" behindDoc="0" locked="0" layoutInCell="1" allowOverlap="1">
            <wp:simplePos x="0" y="0"/>
            <wp:positionH relativeFrom="column">
              <wp:posOffset>-731520</wp:posOffset>
            </wp:positionH>
            <wp:positionV relativeFrom="paragraph">
              <wp:posOffset>-337185</wp:posOffset>
            </wp:positionV>
            <wp:extent cx="6659880" cy="6956425"/>
            <wp:effectExtent l="0" t="0" r="7620" b="15875"/>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6659880" cy="695642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1312" behindDoc="0" locked="0" layoutInCell="1" allowOverlap="1">
            <wp:simplePos x="0" y="0"/>
            <wp:positionH relativeFrom="column">
              <wp:posOffset>-667385</wp:posOffset>
            </wp:positionH>
            <wp:positionV relativeFrom="paragraph">
              <wp:posOffset>-243205</wp:posOffset>
            </wp:positionV>
            <wp:extent cx="6659880" cy="6617970"/>
            <wp:effectExtent l="0" t="0" r="7620" b="11430"/>
            <wp:wrapSquare wrapText="bothSides"/>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6659880" cy="661797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2336" behindDoc="0" locked="0" layoutInCell="1" allowOverlap="1">
            <wp:simplePos x="0" y="0"/>
            <wp:positionH relativeFrom="column">
              <wp:posOffset>-668020</wp:posOffset>
            </wp:positionH>
            <wp:positionV relativeFrom="paragraph">
              <wp:posOffset>18415</wp:posOffset>
            </wp:positionV>
            <wp:extent cx="6659880" cy="7306945"/>
            <wp:effectExtent l="0" t="0" r="7620" b="8255"/>
            <wp:wrapSquare wrapText="bothSides"/>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6659880" cy="730694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3360" behindDoc="0" locked="0" layoutInCell="1" allowOverlap="1">
            <wp:simplePos x="0" y="0"/>
            <wp:positionH relativeFrom="column">
              <wp:posOffset>-635635</wp:posOffset>
            </wp:positionH>
            <wp:positionV relativeFrom="paragraph">
              <wp:posOffset>-48260</wp:posOffset>
            </wp:positionV>
            <wp:extent cx="6659880" cy="8307070"/>
            <wp:effectExtent l="0" t="0" r="7620" b="17780"/>
            <wp:wrapSquare wrapText="bothSides"/>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6659880" cy="830707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4384" behindDoc="0" locked="0" layoutInCell="1" allowOverlap="1">
            <wp:simplePos x="0" y="0"/>
            <wp:positionH relativeFrom="column">
              <wp:posOffset>-699770</wp:posOffset>
            </wp:positionH>
            <wp:positionV relativeFrom="paragraph">
              <wp:posOffset>227965</wp:posOffset>
            </wp:positionV>
            <wp:extent cx="6659880" cy="7815580"/>
            <wp:effectExtent l="0" t="0" r="7620" b="13970"/>
            <wp:wrapSquare wrapText="bothSides"/>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9"/>
                    <a:stretch>
                      <a:fillRect/>
                    </a:stretch>
                  </pic:blipFill>
                  <pic:spPr>
                    <a:xfrm>
                      <a:off x="0" y="0"/>
                      <a:ext cx="6659880" cy="781558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5408" behindDoc="0" locked="0" layoutInCell="1" allowOverlap="1">
            <wp:simplePos x="0" y="0"/>
            <wp:positionH relativeFrom="column">
              <wp:posOffset>-667385</wp:posOffset>
            </wp:positionH>
            <wp:positionV relativeFrom="paragraph">
              <wp:posOffset>36830</wp:posOffset>
            </wp:positionV>
            <wp:extent cx="6659880" cy="7891780"/>
            <wp:effectExtent l="0" t="0" r="7620" b="13970"/>
            <wp:wrapSquare wrapText="bothSides"/>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0"/>
                    <a:stretch>
                      <a:fillRect/>
                    </a:stretch>
                  </pic:blipFill>
                  <pic:spPr>
                    <a:xfrm>
                      <a:off x="0" y="0"/>
                      <a:ext cx="6659880" cy="789178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6432" behindDoc="0" locked="0" layoutInCell="1" allowOverlap="1">
            <wp:simplePos x="0" y="0"/>
            <wp:positionH relativeFrom="column">
              <wp:posOffset>-753745</wp:posOffset>
            </wp:positionH>
            <wp:positionV relativeFrom="paragraph">
              <wp:posOffset>-148590</wp:posOffset>
            </wp:positionV>
            <wp:extent cx="6659880" cy="4057650"/>
            <wp:effectExtent l="0" t="0" r="7620" b="0"/>
            <wp:wrapSquare wrapText="bothSides"/>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1"/>
                    <a:stretch>
                      <a:fillRect/>
                    </a:stretch>
                  </pic:blipFill>
                  <pic:spPr>
                    <a:xfrm>
                      <a:off x="0" y="0"/>
                      <a:ext cx="6659880" cy="405765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7456" behindDoc="0" locked="0" layoutInCell="1" allowOverlap="1">
            <wp:simplePos x="0" y="0"/>
            <wp:positionH relativeFrom="column">
              <wp:posOffset>-774700</wp:posOffset>
            </wp:positionH>
            <wp:positionV relativeFrom="paragraph">
              <wp:posOffset>-288290</wp:posOffset>
            </wp:positionV>
            <wp:extent cx="6659880" cy="4438015"/>
            <wp:effectExtent l="0" t="0" r="7620" b="635"/>
            <wp:wrapSquare wrapText="bothSides"/>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2"/>
                    <a:stretch>
                      <a:fillRect/>
                    </a:stretch>
                  </pic:blipFill>
                  <pic:spPr>
                    <a:xfrm>
                      <a:off x="0" y="0"/>
                      <a:ext cx="6659880" cy="443801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8480" behindDoc="0" locked="0" layoutInCell="1" allowOverlap="1">
            <wp:simplePos x="0" y="0"/>
            <wp:positionH relativeFrom="column">
              <wp:posOffset>-763905</wp:posOffset>
            </wp:positionH>
            <wp:positionV relativeFrom="paragraph">
              <wp:posOffset>74295</wp:posOffset>
            </wp:positionV>
            <wp:extent cx="6659880" cy="4347845"/>
            <wp:effectExtent l="0" t="0" r="7620" b="14605"/>
            <wp:wrapSquare wrapText="bothSides"/>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3"/>
                    <a:stretch>
                      <a:fillRect/>
                    </a:stretch>
                  </pic:blipFill>
                  <pic:spPr>
                    <a:xfrm>
                      <a:off x="0" y="0"/>
                      <a:ext cx="6659880" cy="4347845"/>
                    </a:xfrm>
                    <a:prstGeom prst="rect">
                      <a:avLst/>
                    </a:prstGeom>
                    <a:noFill/>
                    <a:ln>
                      <a:noFill/>
                    </a:ln>
                  </pic:spPr>
                </pic:pic>
              </a:graphicData>
            </a:graphic>
          </wp:anchor>
        </w:drawing>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DC1E1F"/>
    <w:rsid w:val="00F52A8D"/>
    <w:rsid w:val="018B41FE"/>
    <w:rsid w:val="019404F8"/>
    <w:rsid w:val="01DC1AA9"/>
    <w:rsid w:val="01ED22F2"/>
    <w:rsid w:val="02A03ED2"/>
    <w:rsid w:val="02BD3108"/>
    <w:rsid w:val="02F73D26"/>
    <w:rsid w:val="034D4FEF"/>
    <w:rsid w:val="035D1785"/>
    <w:rsid w:val="036221F0"/>
    <w:rsid w:val="039F47CE"/>
    <w:rsid w:val="03E05CE8"/>
    <w:rsid w:val="03F973EE"/>
    <w:rsid w:val="043E5B56"/>
    <w:rsid w:val="04C04386"/>
    <w:rsid w:val="04D96608"/>
    <w:rsid w:val="04FA68C4"/>
    <w:rsid w:val="053F5AE6"/>
    <w:rsid w:val="05775E6D"/>
    <w:rsid w:val="057C0B0F"/>
    <w:rsid w:val="058A0E71"/>
    <w:rsid w:val="05EF4B48"/>
    <w:rsid w:val="05F76ECA"/>
    <w:rsid w:val="06792773"/>
    <w:rsid w:val="06907814"/>
    <w:rsid w:val="07093795"/>
    <w:rsid w:val="07804730"/>
    <w:rsid w:val="079052BE"/>
    <w:rsid w:val="07F07192"/>
    <w:rsid w:val="08145C21"/>
    <w:rsid w:val="08422688"/>
    <w:rsid w:val="085854ED"/>
    <w:rsid w:val="0863123B"/>
    <w:rsid w:val="0868488E"/>
    <w:rsid w:val="0879188F"/>
    <w:rsid w:val="08A0354D"/>
    <w:rsid w:val="08CD4C49"/>
    <w:rsid w:val="09114954"/>
    <w:rsid w:val="09591E0A"/>
    <w:rsid w:val="095A5B83"/>
    <w:rsid w:val="096466E3"/>
    <w:rsid w:val="0968304D"/>
    <w:rsid w:val="09AF3D17"/>
    <w:rsid w:val="0A071580"/>
    <w:rsid w:val="0A2B779C"/>
    <w:rsid w:val="0A7809B7"/>
    <w:rsid w:val="0A7B4867"/>
    <w:rsid w:val="0A840954"/>
    <w:rsid w:val="0A9928ED"/>
    <w:rsid w:val="0ABF3582"/>
    <w:rsid w:val="0B3803D0"/>
    <w:rsid w:val="0B61769D"/>
    <w:rsid w:val="0B711AA2"/>
    <w:rsid w:val="0B8C3ECC"/>
    <w:rsid w:val="0B9B1F16"/>
    <w:rsid w:val="0B9C639D"/>
    <w:rsid w:val="0BB052B2"/>
    <w:rsid w:val="0BD33FFC"/>
    <w:rsid w:val="0BE97AC1"/>
    <w:rsid w:val="0C1C4780"/>
    <w:rsid w:val="0C3613A3"/>
    <w:rsid w:val="0C57583C"/>
    <w:rsid w:val="0C5E519C"/>
    <w:rsid w:val="0C7227A7"/>
    <w:rsid w:val="0CA52EE8"/>
    <w:rsid w:val="0CBD6988"/>
    <w:rsid w:val="0CD208AC"/>
    <w:rsid w:val="0D4903E8"/>
    <w:rsid w:val="0D7A4A46"/>
    <w:rsid w:val="0E640559"/>
    <w:rsid w:val="0F1113DA"/>
    <w:rsid w:val="0F78534A"/>
    <w:rsid w:val="0F89358A"/>
    <w:rsid w:val="0F8C6D51"/>
    <w:rsid w:val="105B0B5E"/>
    <w:rsid w:val="10B10DE5"/>
    <w:rsid w:val="112E58D0"/>
    <w:rsid w:val="11731CAC"/>
    <w:rsid w:val="119500A0"/>
    <w:rsid w:val="1195647B"/>
    <w:rsid w:val="11A00D05"/>
    <w:rsid w:val="11C0733B"/>
    <w:rsid w:val="11D50D17"/>
    <w:rsid w:val="120E0809"/>
    <w:rsid w:val="127F665A"/>
    <w:rsid w:val="129857D9"/>
    <w:rsid w:val="129C5DD2"/>
    <w:rsid w:val="12BB13C3"/>
    <w:rsid w:val="12E133B2"/>
    <w:rsid w:val="12F7068C"/>
    <w:rsid w:val="137923C2"/>
    <w:rsid w:val="13804D6E"/>
    <w:rsid w:val="14207DC0"/>
    <w:rsid w:val="14B932DA"/>
    <w:rsid w:val="150A66AF"/>
    <w:rsid w:val="154C1139"/>
    <w:rsid w:val="158C5B77"/>
    <w:rsid w:val="160D1149"/>
    <w:rsid w:val="161E3602"/>
    <w:rsid w:val="163563C0"/>
    <w:rsid w:val="164315EF"/>
    <w:rsid w:val="16557DFE"/>
    <w:rsid w:val="167268FB"/>
    <w:rsid w:val="16770D0A"/>
    <w:rsid w:val="16D50C50"/>
    <w:rsid w:val="16E120E1"/>
    <w:rsid w:val="17385A05"/>
    <w:rsid w:val="173B3901"/>
    <w:rsid w:val="176747F9"/>
    <w:rsid w:val="17954A6E"/>
    <w:rsid w:val="180059E9"/>
    <w:rsid w:val="184510FD"/>
    <w:rsid w:val="18821D8B"/>
    <w:rsid w:val="190648B0"/>
    <w:rsid w:val="19071D6C"/>
    <w:rsid w:val="192841FC"/>
    <w:rsid w:val="19D26CD4"/>
    <w:rsid w:val="19E60D19"/>
    <w:rsid w:val="1A3E3450"/>
    <w:rsid w:val="1A6873CF"/>
    <w:rsid w:val="1A867AF5"/>
    <w:rsid w:val="1AD807E5"/>
    <w:rsid w:val="1B39345B"/>
    <w:rsid w:val="1BFB2A1F"/>
    <w:rsid w:val="1C015D4A"/>
    <w:rsid w:val="1C290ED5"/>
    <w:rsid w:val="1C317E4F"/>
    <w:rsid w:val="1C472464"/>
    <w:rsid w:val="1D22799A"/>
    <w:rsid w:val="1D5C1A72"/>
    <w:rsid w:val="1DAF458D"/>
    <w:rsid w:val="1E086ACE"/>
    <w:rsid w:val="1E5B6AC9"/>
    <w:rsid w:val="1E62130A"/>
    <w:rsid w:val="1E97358B"/>
    <w:rsid w:val="1EAA4A5F"/>
    <w:rsid w:val="1EBD3F64"/>
    <w:rsid w:val="1EE73443"/>
    <w:rsid w:val="1EE869A7"/>
    <w:rsid w:val="1F3C5B78"/>
    <w:rsid w:val="1F6A3685"/>
    <w:rsid w:val="1FA15E62"/>
    <w:rsid w:val="1FED69B6"/>
    <w:rsid w:val="2064678E"/>
    <w:rsid w:val="20DC1AB9"/>
    <w:rsid w:val="20DD6197"/>
    <w:rsid w:val="212631E0"/>
    <w:rsid w:val="21A53757"/>
    <w:rsid w:val="221236C6"/>
    <w:rsid w:val="221F3CA7"/>
    <w:rsid w:val="22D7662C"/>
    <w:rsid w:val="23326B7F"/>
    <w:rsid w:val="2380045B"/>
    <w:rsid w:val="23BC04D2"/>
    <w:rsid w:val="23EF1892"/>
    <w:rsid w:val="243D50E2"/>
    <w:rsid w:val="2483647E"/>
    <w:rsid w:val="24A00C44"/>
    <w:rsid w:val="24A32D55"/>
    <w:rsid w:val="25292727"/>
    <w:rsid w:val="252E5CA9"/>
    <w:rsid w:val="255B6FBF"/>
    <w:rsid w:val="256F7692"/>
    <w:rsid w:val="25BA2154"/>
    <w:rsid w:val="25C8773F"/>
    <w:rsid w:val="25F7533A"/>
    <w:rsid w:val="264A7253"/>
    <w:rsid w:val="26F0170C"/>
    <w:rsid w:val="27201D62"/>
    <w:rsid w:val="27286E73"/>
    <w:rsid w:val="27CF2642"/>
    <w:rsid w:val="27E777F5"/>
    <w:rsid w:val="27EA1D4C"/>
    <w:rsid w:val="27EA2E41"/>
    <w:rsid w:val="27F15767"/>
    <w:rsid w:val="282459E2"/>
    <w:rsid w:val="283A7FE5"/>
    <w:rsid w:val="284176DF"/>
    <w:rsid w:val="285F51FF"/>
    <w:rsid w:val="289A5FCA"/>
    <w:rsid w:val="28DF2665"/>
    <w:rsid w:val="29072599"/>
    <w:rsid w:val="291029F3"/>
    <w:rsid w:val="2936624F"/>
    <w:rsid w:val="29CB58F0"/>
    <w:rsid w:val="2A053397"/>
    <w:rsid w:val="2A145E96"/>
    <w:rsid w:val="2A2131BB"/>
    <w:rsid w:val="2AB74521"/>
    <w:rsid w:val="2AF5378F"/>
    <w:rsid w:val="2B4B5FF2"/>
    <w:rsid w:val="2BB94DBF"/>
    <w:rsid w:val="2C3770C9"/>
    <w:rsid w:val="2C6F314E"/>
    <w:rsid w:val="2CC206BE"/>
    <w:rsid w:val="2D1136DF"/>
    <w:rsid w:val="2D20606D"/>
    <w:rsid w:val="2DAC1FB8"/>
    <w:rsid w:val="2DB87198"/>
    <w:rsid w:val="2DB93C54"/>
    <w:rsid w:val="2DDB326F"/>
    <w:rsid w:val="2E3D144C"/>
    <w:rsid w:val="2E891204"/>
    <w:rsid w:val="2F3F0A28"/>
    <w:rsid w:val="2FBF7029"/>
    <w:rsid w:val="2FD0187F"/>
    <w:rsid w:val="2FD27414"/>
    <w:rsid w:val="2FFE4BB0"/>
    <w:rsid w:val="300E7B60"/>
    <w:rsid w:val="300F6E18"/>
    <w:rsid w:val="30181E16"/>
    <w:rsid w:val="30581B18"/>
    <w:rsid w:val="307C080E"/>
    <w:rsid w:val="30862F5F"/>
    <w:rsid w:val="314029C9"/>
    <w:rsid w:val="31C63837"/>
    <w:rsid w:val="31C82E39"/>
    <w:rsid w:val="3215564D"/>
    <w:rsid w:val="32601BAD"/>
    <w:rsid w:val="328C4674"/>
    <w:rsid w:val="329F6389"/>
    <w:rsid w:val="32A27420"/>
    <w:rsid w:val="3389023A"/>
    <w:rsid w:val="338C2ED2"/>
    <w:rsid w:val="33CB74FA"/>
    <w:rsid w:val="33F17F2E"/>
    <w:rsid w:val="343642F2"/>
    <w:rsid w:val="343F3010"/>
    <w:rsid w:val="345D0A00"/>
    <w:rsid w:val="34713BFD"/>
    <w:rsid w:val="34C13589"/>
    <w:rsid w:val="353369E3"/>
    <w:rsid w:val="35B21E0B"/>
    <w:rsid w:val="35E00D72"/>
    <w:rsid w:val="36965B9D"/>
    <w:rsid w:val="36C549FD"/>
    <w:rsid w:val="37A755DD"/>
    <w:rsid w:val="37F94FA0"/>
    <w:rsid w:val="380911AB"/>
    <w:rsid w:val="380D3381"/>
    <w:rsid w:val="38115B1F"/>
    <w:rsid w:val="381778DB"/>
    <w:rsid w:val="38555398"/>
    <w:rsid w:val="385E3AC3"/>
    <w:rsid w:val="387D6B9E"/>
    <w:rsid w:val="38B75FF0"/>
    <w:rsid w:val="38D45016"/>
    <w:rsid w:val="38D90432"/>
    <w:rsid w:val="3914510A"/>
    <w:rsid w:val="3926770B"/>
    <w:rsid w:val="398D3668"/>
    <w:rsid w:val="39DA0497"/>
    <w:rsid w:val="3A893816"/>
    <w:rsid w:val="3A893B6D"/>
    <w:rsid w:val="3AD1763A"/>
    <w:rsid w:val="3B5C1A5F"/>
    <w:rsid w:val="3B6716E3"/>
    <w:rsid w:val="3B6C6B2D"/>
    <w:rsid w:val="3C242659"/>
    <w:rsid w:val="3C96719C"/>
    <w:rsid w:val="3CA72BE8"/>
    <w:rsid w:val="3CD07244"/>
    <w:rsid w:val="3CF37F8C"/>
    <w:rsid w:val="3D137554"/>
    <w:rsid w:val="3D5275AC"/>
    <w:rsid w:val="3D894706"/>
    <w:rsid w:val="3DCC2473"/>
    <w:rsid w:val="3DEB0883"/>
    <w:rsid w:val="3E2527BF"/>
    <w:rsid w:val="3E731662"/>
    <w:rsid w:val="3E8168DD"/>
    <w:rsid w:val="3EA7725F"/>
    <w:rsid w:val="3EB03713"/>
    <w:rsid w:val="3EBF1A11"/>
    <w:rsid w:val="3EC52607"/>
    <w:rsid w:val="3EEC6CEF"/>
    <w:rsid w:val="3F183429"/>
    <w:rsid w:val="3F74466F"/>
    <w:rsid w:val="3FB77A1D"/>
    <w:rsid w:val="3FDC3674"/>
    <w:rsid w:val="3FED7F8A"/>
    <w:rsid w:val="40094AEF"/>
    <w:rsid w:val="405470BD"/>
    <w:rsid w:val="40736035"/>
    <w:rsid w:val="40794A29"/>
    <w:rsid w:val="407A18D7"/>
    <w:rsid w:val="40834692"/>
    <w:rsid w:val="41431AD5"/>
    <w:rsid w:val="414B3C0F"/>
    <w:rsid w:val="417C1CE7"/>
    <w:rsid w:val="41900018"/>
    <w:rsid w:val="41944406"/>
    <w:rsid w:val="41946FC6"/>
    <w:rsid w:val="41A9316D"/>
    <w:rsid w:val="41CE128F"/>
    <w:rsid w:val="41DA6F12"/>
    <w:rsid w:val="42171FB1"/>
    <w:rsid w:val="434E6957"/>
    <w:rsid w:val="43BA0E31"/>
    <w:rsid w:val="43C15147"/>
    <w:rsid w:val="43E14DD2"/>
    <w:rsid w:val="43F800E9"/>
    <w:rsid w:val="443A7E4B"/>
    <w:rsid w:val="452F5B3A"/>
    <w:rsid w:val="454E7FD2"/>
    <w:rsid w:val="457A7378"/>
    <w:rsid w:val="45BD30F1"/>
    <w:rsid w:val="46061BDC"/>
    <w:rsid w:val="461404F8"/>
    <w:rsid w:val="46413018"/>
    <w:rsid w:val="464B7E04"/>
    <w:rsid w:val="465E0BAB"/>
    <w:rsid w:val="468041AA"/>
    <w:rsid w:val="468123C6"/>
    <w:rsid w:val="46837864"/>
    <w:rsid w:val="46901EEE"/>
    <w:rsid w:val="469C74D2"/>
    <w:rsid w:val="46EF6A22"/>
    <w:rsid w:val="47445515"/>
    <w:rsid w:val="474B4782"/>
    <w:rsid w:val="47D90D14"/>
    <w:rsid w:val="48387FB0"/>
    <w:rsid w:val="483A6114"/>
    <w:rsid w:val="488727DB"/>
    <w:rsid w:val="48B609E7"/>
    <w:rsid w:val="48B82268"/>
    <w:rsid w:val="48C354B3"/>
    <w:rsid w:val="493D58B5"/>
    <w:rsid w:val="494A1B2D"/>
    <w:rsid w:val="494A7A04"/>
    <w:rsid w:val="496F0744"/>
    <w:rsid w:val="4A0A26D2"/>
    <w:rsid w:val="4A2019A5"/>
    <w:rsid w:val="4A241A0B"/>
    <w:rsid w:val="4A6D48B5"/>
    <w:rsid w:val="4A7B2875"/>
    <w:rsid w:val="4A934476"/>
    <w:rsid w:val="4AA458BE"/>
    <w:rsid w:val="4AAA220A"/>
    <w:rsid w:val="4AE12E67"/>
    <w:rsid w:val="4B4C0111"/>
    <w:rsid w:val="4B8553A9"/>
    <w:rsid w:val="4BDB3730"/>
    <w:rsid w:val="4C200F7A"/>
    <w:rsid w:val="4C9D53ED"/>
    <w:rsid w:val="4CEE3180"/>
    <w:rsid w:val="4D0F4AF6"/>
    <w:rsid w:val="4D2678A2"/>
    <w:rsid w:val="4DE47AB0"/>
    <w:rsid w:val="4DF94F37"/>
    <w:rsid w:val="4E0A1DD5"/>
    <w:rsid w:val="4E3160E5"/>
    <w:rsid w:val="4E4D37AF"/>
    <w:rsid w:val="4E8C6496"/>
    <w:rsid w:val="4EFD18DE"/>
    <w:rsid w:val="4F144236"/>
    <w:rsid w:val="4F663C87"/>
    <w:rsid w:val="4F7605CE"/>
    <w:rsid w:val="4F7E29A8"/>
    <w:rsid w:val="4F89229E"/>
    <w:rsid w:val="4F8A2DC0"/>
    <w:rsid w:val="4F9E1FFC"/>
    <w:rsid w:val="4FCC7EAD"/>
    <w:rsid w:val="50447CC2"/>
    <w:rsid w:val="50874A7C"/>
    <w:rsid w:val="50895EE7"/>
    <w:rsid w:val="50921B9D"/>
    <w:rsid w:val="509C5F5E"/>
    <w:rsid w:val="50D16158"/>
    <w:rsid w:val="50DB5F45"/>
    <w:rsid w:val="510041C4"/>
    <w:rsid w:val="51025EB1"/>
    <w:rsid w:val="51141503"/>
    <w:rsid w:val="51451DE8"/>
    <w:rsid w:val="518D0ED5"/>
    <w:rsid w:val="525C687F"/>
    <w:rsid w:val="52DD5A52"/>
    <w:rsid w:val="52F647F7"/>
    <w:rsid w:val="52F92565"/>
    <w:rsid w:val="53295FFA"/>
    <w:rsid w:val="53346C4D"/>
    <w:rsid w:val="53D03877"/>
    <w:rsid w:val="542F73CA"/>
    <w:rsid w:val="5430786D"/>
    <w:rsid w:val="545A1D2A"/>
    <w:rsid w:val="54C811C0"/>
    <w:rsid w:val="556A442D"/>
    <w:rsid w:val="559F3B5A"/>
    <w:rsid w:val="55DA564E"/>
    <w:rsid w:val="55E816A3"/>
    <w:rsid w:val="5604127D"/>
    <w:rsid w:val="56166703"/>
    <w:rsid w:val="56371753"/>
    <w:rsid w:val="56510474"/>
    <w:rsid w:val="56861525"/>
    <w:rsid w:val="56A93273"/>
    <w:rsid w:val="56BD550C"/>
    <w:rsid w:val="56BE04C1"/>
    <w:rsid w:val="56E07045"/>
    <w:rsid w:val="56FF28AF"/>
    <w:rsid w:val="57540E7D"/>
    <w:rsid w:val="577B4878"/>
    <w:rsid w:val="57926973"/>
    <w:rsid w:val="58175352"/>
    <w:rsid w:val="581F2200"/>
    <w:rsid w:val="583059FA"/>
    <w:rsid w:val="584A0929"/>
    <w:rsid w:val="58CD2491"/>
    <w:rsid w:val="591B41B2"/>
    <w:rsid w:val="59254A26"/>
    <w:rsid w:val="59326325"/>
    <w:rsid w:val="595155C4"/>
    <w:rsid w:val="595C505B"/>
    <w:rsid w:val="595E55C3"/>
    <w:rsid w:val="596E7E20"/>
    <w:rsid w:val="59C43DDA"/>
    <w:rsid w:val="5A127E4A"/>
    <w:rsid w:val="5A60780B"/>
    <w:rsid w:val="5AB34579"/>
    <w:rsid w:val="5ACB0927"/>
    <w:rsid w:val="5AFC6609"/>
    <w:rsid w:val="5B113480"/>
    <w:rsid w:val="5BD456CE"/>
    <w:rsid w:val="5C0D1F49"/>
    <w:rsid w:val="5CBB0CE2"/>
    <w:rsid w:val="5CC17177"/>
    <w:rsid w:val="5CF306BC"/>
    <w:rsid w:val="5D3F1E22"/>
    <w:rsid w:val="5D3F3D64"/>
    <w:rsid w:val="5D833043"/>
    <w:rsid w:val="5DD92690"/>
    <w:rsid w:val="5DDB1CFD"/>
    <w:rsid w:val="5E7E6D93"/>
    <w:rsid w:val="5ECA1F56"/>
    <w:rsid w:val="5ED44800"/>
    <w:rsid w:val="5F350BDE"/>
    <w:rsid w:val="5F61632C"/>
    <w:rsid w:val="5FA17648"/>
    <w:rsid w:val="5FE705CB"/>
    <w:rsid w:val="5FE8628E"/>
    <w:rsid w:val="603947CE"/>
    <w:rsid w:val="603D5080"/>
    <w:rsid w:val="60892571"/>
    <w:rsid w:val="60D0261B"/>
    <w:rsid w:val="618E3791"/>
    <w:rsid w:val="61947DCA"/>
    <w:rsid w:val="61A46A97"/>
    <w:rsid w:val="61D1382F"/>
    <w:rsid w:val="61F114A2"/>
    <w:rsid w:val="61F4133E"/>
    <w:rsid w:val="61F44A4D"/>
    <w:rsid w:val="622B0ABA"/>
    <w:rsid w:val="62512BB4"/>
    <w:rsid w:val="625D7D1A"/>
    <w:rsid w:val="62DD7D21"/>
    <w:rsid w:val="637D586B"/>
    <w:rsid w:val="63A5560B"/>
    <w:rsid w:val="63E9091F"/>
    <w:rsid w:val="64322AF9"/>
    <w:rsid w:val="649826EC"/>
    <w:rsid w:val="64D6010D"/>
    <w:rsid w:val="64D82665"/>
    <w:rsid w:val="64E47C96"/>
    <w:rsid w:val="651E5741"/>
    <w:rsid w:val="656C7547"/>
    <w:rsid w:val="658A4877"/>
    <w:rsid w:val="65A00902"/>
    <w:rsid w:val="65AC6EDD"/>
    <w:rsid w:val="65D97752"/>
    <w:rsid w:val="66085536"/>
    <w:rsid w:val="660D0229"/>
    <w:rsid w:val="66105BF7"/>
    <w:rsid w:val="66150023"/>
    <w:rsid w:val="6628010D"/>
    <w:rsid w:val="669B4528"/>
    <w:rsid w:val="66BA6832"/>
    <w:rsid w:val="66CC12D7"/>
    <w:rsid w:val="670A02E9"/>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AC03821"/>
    <w:rsid w:val="6B0300D9"/>
    <w:rsid w:val="6B68175F"/>
    <w:rsid w:val="6BFD799F"/>
    <w:rsid w:val="6C4A14B7"/>
    <w:rsid w:val="6C4A2E5A"/>
    <w:rsid w:val="6C8138D0"/>
    <w:rsid w:val="6CEF0725"/>
    <w:rsid w:val="6D4B2604"/>
    <w:rsid w:val="6D8030E4"/>
    <w:rsid w:val="6D942A6B"/>
    <w:rsid w:val="6DC903C7"/>
    <w:rsid w:val="6E0E35C4"/>
    <w:rsid w:val="6E0F7A08"/>
    <w:rsid w:val="6E3947F5"/>
    <w:rsid w:val="6E6E3938"/>
    <w:rsid w:val="6E9C74ED"/>
    <w:rsid w:val="6EF72976"/>
    <w:rsid w:val="6F34459C"/>
    <w:rsid w:val="6F471089"/>
    <w:rsid w:val="6F795A80"/>
    <w:rsid w:val="6F7C1D2E"/>
    <w:rsid w:val="6F8E0407"/>
    <w:rsid w:val="6FDD069F"/>
    <w:rsid w:val="702B4D16"/>
    <w:rsid w:val="70AA6621"/>
    <w:rsid w:val="7111480F"/>
    <w:rsid w:val="71261F49"/>
    <w:rsid w:val="712E6956"/>
    <w:rsid w:val="71473612"/>
    <w:rsid w:val="71504F32"/>
    <w:rsid w:val="7152309F"/>
    <w:rsid w:val="718F7F65"/>
    <w:rsid w:val="71EB633D"/>
    <w:rsid w:val="727B234E"/>
    <w:rsid w:val="72B20C1B"/>
    <w:rsid w:val="72D068C7"/>
    <w:rsid w:val="72E42ED8"/>
    <w:rsid w:val="735F4CB9"/>
    <w:rsid w:val="73674C62"/>
    <w:rsid w:val="73845865"/>
    <w:rsid w:val="739B6D9E"/>
    <w:rsid w:val="73BC1D76"/>
    <w:rsid w:val="73FB6630"/>
    <w:rsid w:val="743761BF"/>
    <w:rsid w:val="748D790E"/>
    <w:rsid w:val="749820CC"/>
    <w:rsid w:val="74B8432C"/>
    <w:rsid w:val="74CE04EC"/>
    <w:rsid w:val="74E76DCD"/>
    <w:rsid w:val="751D7C0A"/>
    <w:rsid w:val="75722D56"/>
    <w:rsid w:val="75AE4BB2"/>
    <w:rsid w:val="75DB5477"/>
    <w:rsid w:val="75F94D20"/>
    <w:rsid w:val="75FC6AC3"/>
    <w:rsid w:val="7616619B"/>
    <w:rsid w:val="762D1B47"/>
    <w:rsid w:val="76660D7C"/>
    <w:rsid w:val="766C5968"/>
    <w:rsid w:val="7675608F"/>
    <w:rsid w:val="76BE0C8F"/>
    <w:rsid w:val="76CD53B2"/>
    <w:rsid w:val="770719AC"/>
    <w:rsid w:val="776526CC"/>
    <w:rsid w:val="77A262E1"/>
    <w:rsid w:val="77B13C33"/>
    <w:rsid w:val="77ED6F44"/>
    <w:rsid w:val="77F45548"/>
    <w:rsid w:val="784E7CA6"/>
    <w:rsid w:val="78574801"/>
    <w:rsid w:val="7873527F"/>
    <w:rsid w:val="78C93469"/>
    <w:rsid w:val="790A6425"/>
    <w:rsid w:val="790E2D96"/>
    <w:rsid w:val="791B54B2"/>
    <w:rsid w:val="795A0A34"/>
    <w:rsid w:val="797339C3"/>
    <w:rsid w:val="79D57D57"/>
    <w:rsid w:val="79F00650"/>
    <w:rsid w:val="7A3336CF"/>
    <w:rsid w:val="7A597F5F"/>
    <w:rsid w:val="7A6242BF"/>
    <w:rsid w:val="7A794513"/>
    <w:rsid w:val="7AE952D2"/>
    <w:rsid w:val="7C7248A0"/>
    <w:rsid w:val="7C976D69"/>
    <w:rsid w:val="7CD752DA"/>
    <w:rsid w:val="7CDE40AB"/>
    <w:rsid w:val="7CF057E2"/>
    <w:rsid w:val="7D1548B5"/>
    <w:rsid w:val="7D2858C3"/>
    <w:rsid w:val="7D63732D"/>
    <w:rsid w:val="7DF84014"/>
    <w:rsid w:val="7E207949"/>
    <w:rsid w:val="7E5C0A47"/>
    <w:rsid w:val="7E670C75"/>
    <w:rsid w:val="7E972C2A"/>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6460</Words>
  <Characters>20598</Characters>
  <Lines>0</Lines>
  <Paragraphs>0</Paragraphs>
  <TotalTime>2</TotalTime>
  <ScaleCrop>false</ScaleCrop>
  <LinksUpToDate>false</LinksUpToDate>
  <CharactersWithSpaces>20832</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2025-03-26T10:06:09Z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C4006099E5C443A5A8BC74F6F8D9D37B</vt:lpwstr>
  </property>
</Properties>
</file>