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bookmarkStart w:id="0" w:name="_GoBack"/>
      <w:bookmarkEnd w:id="0"/>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964" w:firstLineChars="2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lang w:val="en-US" w:eastAsia="zh-CN"/>
        </w:rPr>
        <w:t>库尔勒市</w:t>
      </w:r>
      <w:r>
        <w:rPr>
          <w:rFonts w:hint="eastAsia" w:ascii="黑体" w:hAnsi="黑体" w:eastAsia="黑体" w:cs="黑体"/>
          <w:b/>
          <w:color w:val="auto"/>
          <w:kern w:val="0"/>
          <w:sz w:val="48"/>
          <w:szCs w:val="48"/>
          <w:highlight w:val="none"/>
        </w:rPr>
        <w:t>部门单位整体支出绩效</w:t>
      </w:r>
    </w:p>
    <w:p>
      <w:pPr>
        <w:pageBreakBefore w:val="0"/>
        <w:kinsoku/>
        <w:wordWrap/>
        <w:overflowPunct/>
        <w:topLinePunct w:val="0"/>
        <w:autoSpaceDE/>
        <w:autoSpaceDN/>
        <w:bidi w:val="0"/>
        <w:adjustRightInd/>
        <w:spacing w:line="540" w:lineRule="exact"/>
        <w:ind w:firstLine="964" w:firstLineChars="2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rPr>
        <w:t>自评报告</w:t>
      </w: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720" w:firstLineChars="200"/>
        <w:jc w:val="center"/>
        <w:textAlignment w:val="auto"/>
        <w:rPr>
          <w:rFonts w:hint="eastAsia" w:ascii="黑体" w:hAnsi="黑体" w:eastAsia="黑体" w:cs="黑体"/>
          <w:color w:val="auto"/>
          <w:kern w:val="0"/>
          <w:sz w:val="36"/>
          <w:szCs w:val="36"/>
          <w:highlight w:val="none"/>
        </w:rPr>
      </w:pPr>
      <w:r>
        <w:rPr>
          <w:rFonts w:hint="eastAsia" w:ascii="黑体" w:hAnsi="黑体" w:eastAsia="黑体" w:cs="黑体"/>
          <w:color w:val="auto"/>
          <w:kern w:val="0"/>
          <w:sz w:val="36"/>
          <w:szCs w:val="36"/>
          <w:highlight w:val="none"/>
        </w:rPr>
        <w:t>（</w:t>
      </w:r>
      <w:r>
        <w:rPr>
          <w:rFonts w:hint="eastAsia" w:ascii="黑体" w:hAnsi="黑体" w:eastAsia="黑体" w:cs="黑体"/>
          <w:color w:val="auto"/>
          <w:kern w:val="0"/>
          <w:sz w:val="36"/>
          <w:szCs w:val="36"/>
          <w:highlight w:val="none"/>
          <w:lang w:val="en-US" w:eastAsia="zh-CN"/>
        </w:rPr>
        <w:t>2023</w:t>
      </w:r>
      <w:r>
        <w:rPr>
          <w:rFonts w:hint="eastAsia" w:ascii="黑体" w:hAnsi="黑体" w:eastAsia="黑体" w:cs="黑体"/>
          <w:color w:val="auto"/>
          <w:kern w:val="0"/>
          <w:sz w:val="36"/>
          <w:szCs w:val="36"/>
          <w:highlight w:val="none"/>
        </w:rPr>
        <w:t>年度）</w:t>
      </w: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 xml:space="preserve">  </w:t>
      </w:r>
    </w:p>
    <w:p>
      <w:pPr>
        <w:pageBreakBefore w:val="0"/>
        <w:kinsoku/>
        <w:wordWrap/>
        <w:overflowPunct/>
        <w:topLinePunct w:val="0"/>
        <w:autoSpaceDE/>
        <w:autoSpaceDN/>
        <w:bidi w:val="0"/>
        <w:adjustRightInd/>
        <w:spacing w:line="700" w:lineRule="exact"/>
        <w:jc w:val="left"/>
        <w:textAlignment w:val="auto"/>
        <w:rPr>
          <w:rFonts w:hint="eastAsia" w:ascii="仿宋" w:hAnsi="仿宋" w:eastAsia="仿宋" w:cs="仿宋"/>
          <w:color w:val="auto"/>
          <w:kern w:val="0"/>
          <w:sz w:val="36"/>
          <w:szCs w:val="36"/>
          <w:highlight w:val="none"/>
          <w:lang w:val="en-US" w:eastAsia="zh-CN"/>
        </w:rPr>
      </w:pPr>
      <w:r>
        <w:rPr>
          <w:rFonts w:hint="eastAsia" w:ascii="仿宋" w:hAnsi="仿宋" w:eastAsia="仿宋" w:cs="仿宋"/>
          <w:color w:val="auto"/>
          <w:kern w:val="0"/>
          <w:sz w:val="36"/>
          <w:szCs w:val="36"/>
          <w:highlight w:val="none"/>
        </w:rPr>
        <w:t>部门单位名称（公章）：</w:t>
      </w:r>
      <w:r>
        <w:rPr>
          <w:rFonts w:hint="eastAsia" w:ascii="仿宋" w:hAnsi="仿宋" w:eastAsia="仿宋" w:cs="仿宋"/>
          <w:color w:val="auto"/>
          <w:kern w:val="0"/>
          <w:sz w:val="36"/>
          <w:szCs w:val="36"/>
          <w:highlight w:val="none"/>
          <w:lang w:val="en-US" w:eastAsia="zh-CN"/>
        </w:rPr>
        <w:t>库尔勒市天山街道办事处</w:t>
      </w: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填报时间：</w:t>
      </w:r>
      <w:r>
        <w:rPr>
          <w:rFonts w:hint="eastAsia" w:ascii="仿宋" w:hAnsi="仿宋" w:eastAsia="仿宋" w:cs="仿宋"/>
          <w:color w:val="auto"/>
          <w:kern w:val="0"/>
          <w:sz w:val="36"/>
          <w:szCs w:val="36"/>
          <w:highlight w:val="none"/>
          <w:lang w:val="en-US" w:eastAsia="zh-CN"/>
        </w:rPr>
        <w:t>2024</w:t>
      </w:r>
      <w:r>
        <w:rPr>
          <w:rFonts w:hint="eastAsia" w:ascii="仿宋" w:hAnsi="仿宋" w:eastAsia="仿宋" w:cs="仿宋"/>
          <w:color w:val="auto"/>
          <w:kern w:val="0"/>
          <w:sz w:val="36"/>
          <w:szCs w:val="36"/>
          <w:highlight w:val="none"/>
        </w:rPr>
        <w:t>年</w:t>
      </w:r>
      <w:r>
        <w:rPr>
          <w:rFonts w:hint="eastAsia" w:ascii="仿宋" w:hAnsi="仿宋" w:eastAsia="仿宋" w:cs="仿宋"/>
          <w:color w:val="auto"/>
          <w:kern w:val="0"/>
          <w:sz w:val="36"/>
          <w:szCs w:val="36"/>
          <w:highlight w:val="none"/>
          <w:lang w:val="en-US" w:eastAsia="zh-CN"/>
        </w:rPr>
        <w:t>4</w:t>
      </w:r>
      <w:r>
        <w:rPr>
          <w:rFonts w:hint="eastAsia" w:ascii="仿宋" w:hAnsi="仿宋" w:eastAsia="仿宋" w:cs="仿宋"/>
          <w:color w:val="auto"/>
          <w:kern w:val="0"/>
          <w:sz w:val="36"/>
          <w:szCs w:val="36"/>
          <w:highlight w:val="none"/>
        </w:rPr>
        <w:t>月</w:t>
      </w:r>
      <w:r>
        <w:rPr>
          <w:rFonts w:hint="eastAsia" w:ascii="仿宋" w:hAnsi="仿宋" w:eastAsia="仿宋" w:cs="仿宋"/>
          <w:color w:val="auto"/>
          <w:kern w:val="0"/>
          <w:sz w:val="36"/>
          <w:szCs w:val="36"/>
          <w:highlight w:val="none"/>
          <w:lang w:val="en-US" w:eastAsia="zh-CN"/>
        </w:rPr>
        <w:t>28</w:t>
      </w:r>
      <w:r>
        <w:rPr>
          <w:rFonts w:hint="eastAsia" w:ascii="仿宋" w:hAnsi="仿宋" w:eastAsia="仿宋" w:cs="仿宋"/>
          <w:color w:val="auto"/>
          <w:kern w:val="0"/>
          <w:sz w:val="36"/>
          <w:szCs w:val="36"/>
          <w:highlight w:val="none"/>
        </w:rPr>
        <w:t>日</w:t>
      </w:r>
    </w:p>
    <w:p>
      <w:pPr>
        <w:pageBreakBefore w:val="0"/>
        <w:kinsoku/>
        <w:wordWrap/>
        <w:overflowPunct/>
        <w:topLinePunct w:val="0"/>
        <w:autoSpaceDE/>
        <w:autoSpaceDN/>
        <w:bidi w:val="0"/>
        <w:adjustRightInd/>
        <w:ind w:firstLine="720" w:firstLineChars="200"/>
        <w:textAlignment w:val="auto"/>
        <w:rPr>
          <w:rFonts w:hAnsi="宋体" w:eastAsia="仿宋_GB2312" w:cs="宋体"/>
          <w:color w:val="auto"/>
          <w:kern w:val="0"/>
          <w:sz w:val="36"/>
          <w:szCs w:val="36"/>
          <w:highlight w:val="none"/>
        </w:rPr>
      </w:pPr>
      <w:r>
        <w:rPr>
          <w:rFonts w:hAnsi="宋体" w:eastAsia="仿宋_GB2312" w:cs="宋体"/>
          <w:color w:val="auto"/>
          <w:kern w:val="0"/>
          <w:sz w:val="36"/>
          <w:szCs w:val="36"/>
          <w:highlight w:val="none"/>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一、基本概况</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1"/>
          <w:rFonts w:hint="eastAsia" w:ascii="黑体" w:hAnsi="黑体" w:eastAsia="黑体" w:cs="黑体"/>
          <w:b w:val="0"/>
          <w:bCs/>
          <w:color w:val="auto"/>
          <w:spacing w:val="-4"/>
          <w:sz w:val="32"/>
          <w:szCs w:val="32"/>
          <w:highlight w:val="none"/>
        </w:rPr>
      </w:pPr>
      <w:r>
        <w:rPr>
          <w:rStyle w:val="11"/>
          <w:rFonts w:hint="eastAsia" w:ascii="黑体" w:hAnsi="黑体" w:eastAsia="黑体" w:cs="黑体"/>
          <w:b w:val="0"/>
          <w:bCs/>
          <w:color w:val="auto"/>
          <w:spacing w:val="-4"/>
          <w:sz w:val="32"/>
          <w:szCs w:val="32"/>
          <w:highlight w:val="none"/>
          <w:lang w:val="en-US" w:eastAsia="zh-CN"/>
        </w:rPr>
        <w:t>(一)</w:t>
      </w:r>
      <w:r>
        <w:rPr>
          <w:rStyle w:val="11"/>
          <w:rFonts w:hint="eastAsia" w:ascii="黑体" w:hAnsi="黑体" w:eastAsia="黑体" w:cs="黑体"/>
          <w:b w:val="0"/>
          <w:bCs/>
          <w:color w:val="auto"/>
          <w:spacing w:val="-4"/>
          <w:sz w:val="32"/>
          <w:szCs w:val="32"/>
          <w:highlight w:val="none"/>
        </w:rPr>
        <w:t>部门单位基本情况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1.部门职能</w:t>
      </w:r>
    </w:p>
    <w:p>
      <w:pPr>
        <w:spacing w:line="360" w:lineRule="auto"/>
        <w:ind w:firstLine="640" w:firstLineChars="200"/>
        <w:rPr>
          <w:rFonts w:ascii="仿宋" w:hAnsi="仿宋" w:eastAsia="仿宋"/>
          <w:bCs/>
          <w:sz w:val="32"/>
          <w:szCs w:val="32"/>
          <w:highlight w:val="none"/>
        </w:rPr>
      </w:pPr>
      <w:r>
        <w:rPr>
          <w:rFonts w:hint="eastAsia" w:ascii="仿宋_GB2312" w:hAnsi="仿宋" w:eastAsia="仿宋_GB2312"/>
          <w:sz w:val="32"/>
          <w:szCs w:val="32"/>
          <w:highlight w:val="none"/>
        </w:rPr>
        <w:t>（</w:t>
      </w:r>
      <w:r>
        <w:rPr>
          <w:rFonts w:hint="eastAsia" w:ascii="仿宋" w:hAnsi="仿宋" w:eastAsia="仿宋"/>
          <w:bCs/>
          <w:sz w:val="32"/>
          <w:szCs w:val="32"/>
          <w:highlight w:val="none"/>
        </w:rPr>
        <w:t xml:space="preserve">1）贯彻执行党和国家的各项方针、政策、法令、法规上级人民政府关于街道工作方面的决定，制定具体的管理办法并组织实施。  </w:t>
      </w:r>
    </w:p>
    <w:p>
      <w:pPr>
        <w:adjustRightInd w:val="0"/>
        <w:snapToGrid w:val="0"/>
        <w:spacing w:line="360" w:lineRule="auto"/>
        <w:ind w:firstLine="640" w:firstLineChars="200"/>
        <w:rPr>
          <w:rFonts w:ascii="仿宋" w:hAnsi="仿宋" w:eastAsia="仿宋"/>
          <w:bCs/>
          <w:sz w:val="32"/>
          <w:szCs w:val="32"/>
          <w:highlight w:val="none"/>
        </w:rPr>
      </w:pPr>
      <w:r>
        <w:rPr>
          <w:rFonts w:hint="eastAsia" w:ascii="仿宋" w:hAnsi="仿宋" w:eastAsia="仿宋"/>
          <w:bCs/>
          <w:sz w:val="32"/>
          <w:szCs w:val="32"/>
          <w:highlight w:val="none"/>
        </w:rPr>
        <w:t xml:space="preserve">（2）负责辖区内的社会管理综合治理，人民调解、法律服务工作，依照有关规定管理外来流动人员。 </w:t>
      </w:r>
    </w:p>
    <w:p>
      <w:pPr>
        <w:adjustRightInd w:val="0"/>
        <w:snapToGrid w:val="0"/>
        <w:spacing w:line="360" w:lineRule="auto"/>
        <w:ind w:firstLine="640" w:firstLineChars="200"/>
        <w:rPr>
          <w:rFonts w:ascii="仿宋" w:hAnsi="仿宋" w:eastAsia="仿宋"/>
          <w:bCs/>
          <w:sz w:val="32"/>
          <w:szCs w:val="32"/>
          <w:highlight w:val="none"/>
        </w:rPr>
      </w:pPr>
      <w:r>
        <w:rPr>
          <w:rFonts w:hint="eastAsia" w:ascii="仿宋" w:hAnsi="仿宋" w:eastAsia="仿宋"/>
          <w:bCs/>
          <w:sz w:val="32"/>
          <w:szCs w:val="32"/>
          <w:highlight w:val="none"/>
        </w:rPr>
        <w:t xml:space="preserve">（3）开展社区服务、拥军优属工作，负责社区优抚、社会救济、社会福利工作，做好社区文化、科普、体育、教育工作。 </w:t>
      </w:r>
    </w:p>
    <w:p>
      <w:pPr>
        <w:adjustRightInd w:val="0"/>
        <w:snapToGrid w:val="0"/>
        <w:spacing w:line="360" w:lineRule="auto"/>
        <w:ind w:firstLine="640" w:firstLineChars="200"/>
        <w:rPr>
          <w:rFonts w:ascii="仿宋" w:hAnsi="仿宋" w:eastAsia="仿宋"/>
          <w:bCs/>
          <w:sz w:val="32"/>
          <w:szCs w:val="32"/>
          <w:highlight w:val="none"/>
        </w:rPr>
      </w:pPr>
      <w:r>
        <w:rPr>
          <w:rFonts w:hint="eastAsia" w:ascii="仿宋" w:hAnsi="仿宋" w:eastAsia="仿宋"/>
          <w:bCs/>
          <w:sz w:val="32"/>
          <w:szCs w:val="32"/>
          <w:highlight w:val="none"/>
        </w:rPr>
        <w:t xml:space="preserve">（4）按照职责范围做好计划生育、爱国卫生、绿化、环境保护、劳动就业、安全生产等管理工作。    </w:t>
      </w:r>
    </w:p>
    <w:p>
      <w:pPr>
        <w:adjustRightInd w:val="0"/>
        <w:snapToGrid w:val="0"/>
        <w:spacing w:line="360" w:lineRule="auto"/>
        <w:ind w:firstLine="640" w:firstLineChars="200"/>
        <w:rPr>
          <w:rFonts w:ascii="仿宋" w:hAnsi="仿宋" w:eastAsia="仿宋"/>
          <w:bCs/>
          <w:sz w:val="32"/>
          <w:szCs w:val="32"/>
          <w:highlight w:val="none"/>
        </w:rPr>
      </w:pPr>
      <w:r>
        <w:rPr>
          <w:rFonts w:hint="eastAsia" w:ascii="仿宋" w:hAnsi="仿宋" w:eastAsia="仿宋"/>
          <w:bCs/>
          <w:sz w:val="32"/>
          <w:szCs w:val="32"/>
          <w:highlight w:val="none"/>
        </w:rPr>
        <w:t>（5）配合有关部门做好防汛、防风、防火、防震、抢险和防灾救灾工作。</w:t>
      </w:r>
    </w:p>
    <w:p>
      <w:pPr>
        <w:spacing w:line="360" w:lineRule="auto"/>
        <w:ind w:firstLine="640" w:firstLineChars="200"/>
        <w:rPr>
          <w:rFonts w:ascii="仿宋" w:hAnsi="仿宋" w:eastAsia="仿宋"/>
          <w:bCs/>
          <w:sz w:val="32"/>
          <w:szCs w:val="32"/>
          <w:highlight w:val="none"/>
        </w:rPr>
      </w:pPr>
      <w:r>
        <w:rPr>
          <w:rFonts w:hint="eastAsia" w:ascii="仿宋" w:hAnsi="仿宋" w:eastAsia="仿宋"/>
          <w:bCs/>
          <w:sz w:val="32"/>
          <w:szCs w:val="32"/>
          <w:highlight w:val="none"/>
        </w:rPr>
        <w:t>（6）会同有关部门做好本辖区综治、维稳等工作；</w:t>
      </w:r>
    </w:p>
    <w:p>
      <w:pPr>
        <w:spacing w:line="360" w:lineRule="auto"/>
        <w:ind w:firstLine="640" w:firstLineChars="200"/>
        <w:rPr>
          <w:rFonts w:ascii="仿宋" w:hAnsi="仿宋" w:eastAsia="仿宋"/>
          <w:bCs/>
          <w:sz w:val="32"/>
          <w:szCs w:val="32"/>
          <w:highlight w:val="none"/>
        </w:rPr>
      </w:pPr>
      <w:r>
        <w:rPr>
          <w:rFonts w:hint="eastAsia" w:ascii="仿宋" w:hAnsi="仿宋" w:eastAsia="仿宋"/>
          <w:bCs/>
          <w:sz w:val="32"/>
          <w:szCs w:val="32"/>
          <w:highlight w:val="none"/>
        </w:rPr>
        <w:t>（7）负责辖区内市容市貌和环境卫生的日常管理工作，发动辖区单位和群众保护环境，开展爱国卫生运动；</w:t>
      </w:r>
    </w:p>
    <w:p>
      <w:pPr>
        <w:adjustRightInd w:val="0"/>
        <w:snapToGrid w:val="0"/>
        <w:spacing w:line="360" w:lineRule="auto"/>
        <w:ind w:firstLine="640" w:firstLineChars="200"/>
        <w:rPr>
          <w:rFonts w:ascii="仿宋" w:hAnsi="仿宋" w:eastAsia="仿宋"/>
          <w:bCs/>
          <w:sz w:val="32"/>
          <w:szCs w:val="32"/>
          <w:highlight w:val="none"/>
        </w:rPr>
      </w:pPr>
      <w:r>
        <w:rPr>
          <w:rFonts w:hint="eastAsia" w:ascii="仿宋" w:hAnsi="仿宋" w:eastAsia="仿宋"/>
          <w:bCs/>
          <w:sz w:val="32"/>
          <w:szCs w:val="32"/>
          <w:highlight w:val="none"/>
        </w:rPr>
        <w:t>（8）指导和帮助居民委员会的工作，调解解决行政事务、社会管理和公共服务方面的问题，促进居民委员会的依法建设。</w:t>
      </w:r>
    </w:p>
    <w:p>
      <w:pPr>
        <w:spacing w:line="360" w:lineRule="auto"/>
        <w:ind w:firstLine="640" w:firstLineChars="200"/>
        <w:rPr>
          <w:rFonts w:ascii="仿宋" w:hAnsi="仿宋" w:eastAsia="仿宋"/>
          <w:bCs/>
          <w:sz w:val="32"/>
          <w:szCs w:val="32"/>
          <w:highlight w:val="none"/>
        </w:rPr>
      </w:pPr>
      <w:r>
        <w:rPr>
          <w:rFonts w:hint="eastAsia" w:ascii="仿宋" w:hAnsi="仿宋" w:eastAsia="仿宋"/>
          <w:bCs/>
          <w:sz w:val="32"/>
          <w:szCs w:val="32"/>
          <w:highlight w:val="none"/>
        </w:rPr>
        <w:t>（9）协助武装部门做好国防动员、民兵训练和公民服兵役工作；</w:t>
      </w:r>
    </w:p>
    <w:p>
      <w:pPr>
        <w:adjustRightInd w:val="0"/>
        <w:snapToGrid w:val="0"/>
        <w:spacing w:line="360" w:lineRule="auto"/>
        <w:ind w:firstLine="640" w:firstLineChars="200"/>
        <w:rPr>
          <w:rFonts w:ascii="仿宋" w:hAnsi="仿宋" w:eastAsia="仿宋"/>
          <w:bCs/>
          <w:sz w:val="32"/>
          <w:szCs w:val="32"/>
          <w:highlight w:val="none"/>
        </w:rPr>
      </w:pPr>
      <w:r>
        <w:rPr>
          <w:rFonts w:hint="eastAsia" w:ascii="仿宋" w:hAnsi="仿宋" w:eastAsia="仿宋"/>
          <w:bCs/>
          <w:sz w:val="32"/>
          <w:szCs w:val="32"/>
          <w:highlight w:val="none"/>
        </w:rPr>
        <w:t>（10）维护老年人、妇女、青少年、儿童和残疾人的合法权益。</w:t>
      </w:r>
    </w:p>
    <w:p>
      <w:pPr>
        <w:adjustRightInd w:val="0"/>
        <w:snapToGrid w:val="0"/>
        <w:spacing w:line="360" w:lineRule="auto"/>
        <w:ind w:firstLine="640" w:firstLineChars="200"/>
        <w:rPr>
          <w:rFonts w:ascii="仿宋" w:hAnsi="仿宋" w:eastAsia="仿宋"/>
          <w:bCs/>
          <w:sz w:val="32"/>
          <w:szCs w:val="32"/>
          <w:highlight w:val="none"/>
        </w:rPr>
      </w:pPr>
      <w:r>
        <w:rPr>
          <w:rFonts w:hint="eastAsia" w:ascii="仿宋" w:hAnsi="仿宋" w:eastAsia="仿宋"/>
          <w:bCs/>
          <w:sz w:val="32"/>
          <w:szCs w:val="32"/>
          <w:highlight w:val="none"/>
        </w:rPr>
        <w:t xml:space="preserve">（11）动员和领导居民及各单位、各部门开展社区建设工作；制定并实施社区建设规划和年度计划； </w:t>
      </w:r>
    </w:p>
    <w:p>
      <w:pPr>
        <w:adjustRightInd w:val="0"/>
        <w:snapToGrid w:val="0"/>
        <w:spacing w:line="360" w:lineRule="auto"/>
        <w:ind w:firstLine="640" w:firstLineChars="200"/>
        <w:rPr>
          <w:rFonts w:ascii="仿宋" w:hAnsi="仿宋" w:eastAsia="仿宋"/>
          <w:bCs/>
          <w:sz w:val="32"/>
          <w:szCs w:val="32"/>
          <w:highlight w:val="none"/>
        </w:rPr>
      </w:pPr>
      <w:r>
        <w:rPr>
          <w:rFonts w:hint="eastAsia" w:ascii="仿宋" w:hAnsi="仿宋" w:eastAsia="仿宋"/>
          <w:bCs/>
          <w:sz w:val="32"/>
          <w:szCs w:val="32"/>
          <w:highlight w:val="none"/>
        </w:rPr>
        <w:t xml:space="preserve">（12）向市党委、市政府反映居民群众的意见和要求，办理人民群众的来信来访等事项。 </w:t>
      </w:r>
    </w:p>
    <w:p>
      <w:pPr>
        <w:spacing w:line="360" w:lineRule="auto"/>
        <w:ind w:firstLine="640" w:firstLineChars="200"/>
        <w:rPr>
          <w:rFonts w:ascii="仿宋_GB2312" w:hAnsi="仿宋" w:eastAsia="仿宋_GB2312"/>
          <w:sz w:val="32"/>
          <w:szCs w:val="32"/>
          <w:highlight w:val="none"/>
        </w:rPr>
      </w:pPr>
      <w:r>
        <w:rPr>
          <w:rFonts w:hint="eastAsia" w:ascii="仿宋" w:hAnsi="仿宋" w:eastAsia="仿宋"/>
          <w:bCs/>
          <w:sz w:val="32"/>
          <w:szCs w:val="32"/>
          <w:highlight w:val="none"/>
        </w:rPr>
        <w:t>（13）</w:t>
      </w:r>
      <w:r>
        <w:rPr>
          <w:rFonts w:hint="eastAsia" w:ascii="仿宋_GB2312" w:hAnsi="仿宋" w:eastAsia="仿宋_GB2312"/>
          <w:sz w:val="32"/>
          <w:szCs w:val="32"/>
          <w:highlight w:val="none"/>
        </w:rPr>
        <w:t>承办市党委、市政府交办的其他事项。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2.部门机构人员构成情况</w:t>
      </w:r>
    </w:p>
    <w:p>
      <w:pPr>
        <w:pStyle w:val="8"/>
        <w:keepNext w:val="0"/>
        <w:keepLines w:val="0"/>
        <w:pageBreakBefore w:val="0"/>
        <w:widowControl/>
        <w:kinsoku/>
        <w:wordWrap/>
        <w:overflowPunct/>
        <w:topLinePunct w:val="0"/>
        <w:autoSpaceDE/>
        <w:autoSpaceDN/>
        <w:bidi w:val="0"/>
        <w:adjustRightInd/>
        <w:snapToGrid/>
        <w:spacing w:before="40" w:beforeAutospacing="0" w:after="0" w:afterAutospacing="0" w:line="600" w:lineRule="exact"/>
        <w:ind w:firstLine="640" w:firstLineChars="200"/>
        <w:jc w:val="both"/>
        <w:textAlignment w:val="auto"/>
        <w:rPr>
          <w:rFonts w:hint="default"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库尔勒市天山街道办事处编制数95人，实有人数106人，其中：在职81人，退休25人,离休0人。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1"/>
          <w:rFonts w:hint="eastAsia" w:ascii="黑体" w:hAnsi="黑体" w:eastAsia="黑体" w:cs="黑体"/>
          <w:b w:val="0"/>
          <w:bCs/>
          <w:color w:val="auto"/>
          <w:spacing w:val="-4"/>
          <w:sz w:val="32"/>
          <w:szCs w:val="32"/>
          <w:highlight w:val="none"/>
          <w:lang w:val="en-US" w:eastAsia="zh-CN"/>
        </w:rPr>
      </w:pPr>
      <w:r>
        <w:rPr>
          <w:rStyle w:val="11"/>
          <w:rFonts w:hint="eastAsia" w:ascii="黑体" w:hAnsi="黑体" w:eastAsia="黑体" w:cs="黑体"/>
          <w:b w:val="0"/>
          <w:bCs/>
          <w:color w:val="auto"/>
          <w:spacing w:val="-4"/>
          <w:sz w:val="32"/>
          <w:szCs w:val="32"/>
          <w:highlight w:val="none"/>
          <w:lang w:val="en-US" w:eastAsia="zh-CN"/>
        </w:rPr>
        <w:t>(二)部门单位年度重点工作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1.2023年度工作计划</w:t>
      </w:r>
    </w:p>
    <w:p>
      <w:pPr>
        <w:adjustRightInd w:val="0"/>
        <w:snapToGrid w:val="0"/>
        <w:spacing w:line="360" w:lineRule="auto"/>
        <w:ind w:firstLine="640" w:firstLineChars="200"/>
        <w:rPr>
          <w:rFonts w:hint="eastAsia" w:ascii="仿宋" w:hAnsi="仿宋" w:eastAsia="仿宋"/>
          <w:bCs/>
          <w:sz w:val="32"/>
          <w:szCs w:val="32"/>
          <w:highlight w:val="none"/>
        </w:rPr>
      </w:pPr>
      <w:r>
        <w:rPr>
          <w:rFonts w:hint="eastAsia" w:ascii="仿宋" w:hAnsi="仿宋" w:eastAsia="仿宋"/>
          <w:bCs/>
          <w:sz w:val="32"/>
          <w:szCs w:val="32"/>
          <w:highlight w:val="none"/>
        </w:rPr>
        <w:t>加大对辖区内8个社区依法治理宣传教育的力度，多形式开展法制教育，引导干部树立依法办事的观念，提高干部参与依法管理的积极性；利用街道司法所、社区法律咨询室、道德讲堂等平台，开展法治创建活动，以法育人、以法服人、依法帮人。</w:t>
      </w:r>
    </w:p>
    <w:p>
      <w:pPr>
        <w:adjustRightInd w:val="0"/>
        <w:snapToGrid w:val="0"/>
        <w:spacing w:line="360" w:lineRule="auto"/>
        <w:ind w:firstLine="640" w:firstLineChars="200"/>
        <w:rPr>
          <w:rFonts w:hint="eastAsia" w:ascii="仿宋" w:hAnsi="仿宋" w:eastAsia="仿宋"/>
          <w:bCs/>
          <w:sz w:val="32"/>
          <w:szCs w:val="32"/>
          <w:highlight w:val="none"/>
        </w:rPr>
      </w:pPr>
      <w:r>
        <w:rPr>
          <w:rFonts w:hint="eastAsia" w:ascii="仿宋" w:hAnsi="仿宋" w:eastAsia="仿宋"/>
          <w:bCs/>
          <w:sz w:val="32"/>
          <w:szCs w:val="32"/>
          <w:highlight w:val="none"/>
        </w:rPr>
        <w:t>依法依规对出店经营、占道经营、流动摊贩和车辆抛酒、乱扔垃圾等突出问题予以有效解决，探索建立长效管理机制，解决市容秩序违规现象易反复反弹的问题。对信访人员做好解释工作，在合理合法范围内尽量满足信访人员要求，全年信访事项化解件数不低于5件。深入落实文化润疆工程，充分发挥新时代文明实践所、站阵地作用，满足居民群众图书阅览、体育健身、学习教育、科学普及等多元化精神文化需求，培育和践行社会主义核心价值观。</w:t>
      </w:r>
      <w:r>
        <w:rPr>
          <w:rFonts w:hint="eastAsia" w:ascii="仿宋" w:hAnsi="仿宋" w:eastAsia="仿宋"/>
          <w:bCs/>
          <w:sz w:val="32"/>
          <w:szCs w:val="32"/>
          <w:highlight w:val="none"/>
          <w:lang w:val="en-US" w:eastAsia="zh-CN"/>
        </w:rPr>
        <w:t>开展文体活动次数不低于12次；</w:t>
      </w:r>
      <w:r>
        <w:rPr>
          <w:rFonts w:hint="eastAsia" w:ascii="仿宋" w:hAnsi="仿宋" w:eastAsia="仿宋"/>
          <w:bCs/>
          <w:sz w:val="32"/>
          <w:szCs w:val="32"/>
          <w:highlight w:val="none"/>
        </w:rPr>
        <w:t>节日慰问人次不低于30人次。</w:t>
      </w:r>
    </w:p>
    <w:p>
      <w:pPr>
        <w:adjustRightInd w:val="0"/>
        <w:snapToGrid w:val="0"/>
        <w:spacing w:line="360" w:lineRule="auto"/>
        <w:ind w:firstLine="640" w:firstLineChars="200"/>
        <w:rPr>
          <w:rFonts w:hint="eastAsia" w:ascii="仿宋" w:hAnsi="仿宋" w:eastAsia="仿宋"/>
          <w:bCs/>
          <w:sz w:val="32"/>
          <w:szCs w:val="32"/>
          <w:highlight w:val="none"/>
        </w:rPr>
      </w:pPr>
      <w:r>
        <w:rPr>
          <w:rFonts w:hint="eastAsia" w:ascii="仿宋" w:hAnsi="仿宋" w:eastAsia="仿宋"/>
          <w:bCs/>
          <w:sz w:val="32"/>
          <w:szCs w:val="32"/>
          <w:highlight w:val="none"/>
        </w:rPr>
        <w:t>积极开展未就业居民、退役军人就业培训，帮扶就业、推荐就业，全年为民办实事数量不低于</w:t>
      </w:r>
      <w:r>
        <w:rPr>
          <w:rFonts w:hint="eastAsia" w:ascii="仿宋" w:hAnsi="仿宋" w:eastAsia="仿宋"/>
          <w:bCs/>
          <w:sz w:val="32"/>
          <w:szCs w:val="32"/>
          <w:highlight w:val="none"/>
          <w:lang w:val="en-US" w:eastAsia="zh-CN"/>
        </w:rPr>
        <w:t>7</w:t>
      </w:r>
      <w:r>
        <w:rPr>
          <w:rFonts w:hint="eastAsia" w:ascii="仿宋" w:hAnsi="仿宋" w:eastAsia="仿宋"/>
          <w:bCs/>
          <w:sz w:val="32"/>
          <w:szCs w:val="32"/>
          <w:highlight w:val="none"/>
        </w:rPr>
        <w:t>件</w:t>
      </w:r>
      <w:r>
        <w:rPr>
          <w:rFonts w:hint="eastAsia" w:ascii="仿宋" w:hAnsi="仿宋" w:eastAsia="仿宋"/>
          <w:bCs/>
          <w:sz w:val="32"/>
          <w:szCs w:val="32"/>
          <w:highlight w:val="none"/>
          <w:lang w:eastAsia="zh-CN"/>
        </w:rPr>
        <w:t>。</w:t>
      </w:r>
      <w:r>
        <w:rPr>
          <w:rFonts w:hint="eastAsia" w:ascii="仿宋" w:hAnsi="仿宋" w:eastAsia="仿宋"/>
          <w:bCs/>
          <w:sz w:val="32"/>
          <w:szCs w:val="32"/>
          <w:highlight w:val="none"/>
        </w:rPr>
        <w:t>系统性开展专题培训，积极探索新形式监督手段，拓宽工作思路，提高监督能力和发现风险隐患的能力，拓宽举报渠道，引导群众有序参与监督。</w:t>
      </w:r>
    </w:p>
    <w:p>
      <w:pPr>
        <w:pStyle w:val="3"/>
        <w:pageBreakBefore w:val="0"/>
        <w:kinsoku/>
        <w:wordWrap/>
        <w:overflowPunct/>
        <w:topLinePunct w:val="0"/>
        <w:autoSpaceDE/>
        <w:autoSpaceDN/>
        <w:bidi w:val="0"/>
        <w:adjustRightInd/>
        <w:spacing w:line="600" w:lineRule="exact"/>
        <w:ind w:firstLine="640" w:firstLineChars="200"/>
        <w:textAlignment w:val="auto"/>
        <w:rPr>
          <w:rFonts w:hint="eastAsia" w:ascii="黑体" w:hAnsi="黑体" w:eastAsia="黑体" w:cs="黑体"/>
          <w:color w:val="auto"/>
          <w:highlight w:val="none"/>
          <w:lang w:val="en-US" w:eastAsia="zh-CN"/>
        </w:rPr>
      </w:pPr>
      <w:r>
        <w:rPr>
          <w:rFonts w:hint="eastAsia" w:ascii="黑体" w:hAnsi="黑体" w:eastAsia="黑体" w:cs="黑体"/>
          <w:b w:val="0"/>
          <w:bCs/>
          <w:color w:val="auto"/>
          <w:sz w:val="32"/>
          <w:szCs w:val="32"/>
          <w:highlight w:val="none"/>
          <w:lang w:val="en-US" w:eastAsia="zh-CN"/>
        </w:rPr>
        <w:t>2.机构人员保障情况</w:t>
      </w:r>
    </w:p>
    <w:p>
      <w:pPr>
        <w:adjustRightInd w:val="0"/>
        <w:snapToGrid w:val="0"/>
        <w:spacing w:line="360" w:lineRule="auto"/>
        <w:ind w:firstLine="640" w:firstLineChars="200"/>
        <w:rPr>
          <w:rFonts w:hint="eastAsia" w:ascii="仿宋" w:hAnsi="仿宋" w:eastAsia="仿宋"/>
          <w:bCs/>
          <w:sz w:val="32"/>
          <w:szCs w:val="32"/>
          <w:highlight w:val="none"/>
          <w:lang w:val="en-US" w:eastAsia="zh-CN"/>
        </w:rPr>
      </w:pPr>
      <w:r>
        <w:rPr>
          <w:rFonts w:hint="eastAsia" w:ascii="仿宋" w:hAnsi="仿宋" w:eastAsia="仿宋"/>
          <w:bCs/>
          <w:sz w:val="32"/>
          <w:szCs w:val="32"/>
          <w:highlight w:val="none"/>
          <w:lang w:val="en-US" w:eastAsia="zh-CN"/>
        </w:rPr>
        <w:t>库尔勒市天山街道办事处2023年通过本部门预算支出，确保了81名在职人员的工资、津贴、补贴、社保、绩效、公积金等以及25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1"/>
          <w:rFonts w:hint="eastAsia" w:ascii="黑体" w:hAnsi="黑体" w:eastAsia="黑体" w:cs="黑体"/>
          <w:b w:val="0"/>
          <w:bCs/>
          <w:color w:val="auto"/>
          <w:spacing w:val="-4"/>
          <w:sz w:val="32"/>
          <w:szCs w:val="32"/>
          <w:highlight w:val="none"/>
          <w:lang w:val="en-US" w:eastAsia="zh-CN"/>
        </w:rPr>
      </w:pPr>
      <w:r>
        <w:rPr>
          <w:rStyle w:val="11"/>
          <w:rFonts w:hint="eastAsia" w:ascii="黑体" w:hAnsi="黑体" w:eastAsia="黑体" w:cs="黑体"/>
          <w:b w:val="0"/>
          <w:bCs/>
          <w:color w:val="auto"/>
          <w:spacing w:val="-4"/>
          <w:sz w:val="32"/>
          <w:szCs w:val="32"/>
          <w:highlight w:val="none"/>
          <w:lang w:val="en-US" w:eastAsia="zh-CN"/>
        </w:rPr>
        <w:t>(三)部门单位整体预算规模及安排情况</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1.年初预算安排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2023年我部门年初安排预算数为2052.31万元，其中:上级安排139.62万元,本级安排1912.69万元，其他资金0.00万元。</w:t>
      </w:r>
    </w:p>
    <w:p>
      <w:pPr>
        <w:pStyle w:val="3"/>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综上所述，部门预算安排与本单位职能关联度较高，预算安排结构清晰明了，能够直观展示各项费用的分配情况，预算规模合理，为单位的稳健发展和高效运行提供了有力保障。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2.预算年中调整情况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 w:val="0"/>
          <w:bCs/>
          <w:color w:val="FF0000"/>
          <w:sz w:val="32"/>
          <w:szCs w:val="32"/>
          <w:highlight w:val="none"/>
          <w:lang w:val="en-US" w:eastAsia="zh-CN"/>
        </w:rPr>
      </w:pPr>
      <w:r>
        <w:rPr>
          <w:rFonts w:hint="eastAsia" w:ascii="仿宋" w:hAnsi="仿宋" w:eastAsia="仿宋" w:cs="仿宋"/>
          <w:b w:val="0"/>
          <w:bCs/>
          <w:color w:val="auto"/>
          <w:sz w:val="32"/>
          <w:szCs w:val="32"/>
          <w:highlight w:val="none"/>
          <w:lang w:val="en-US" w:eastAsia="zh-CN"/>
        </w:rPr>
        <w:t>我部门年初安排预算数2052.31万元，年中调整数+376.89万元，调整后全年预算数2429.20万元，预算调整率18.36%。</w:t>
      </w:r>
    </w:p>
    <w:p>
      <w:pPr>
        <w:pStyle w:val="3"/>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highlight w:val="none"/>
          <w:lang w:val="en-US" w:eastAsia="zh-CN" w:bidi="ar-SA"/>
        </w:rPr>
      </w:pPr>
      <w:r>
        <w:rPr>
          <w:rFonts w:hint="eastAsia" w:ascii="仿宋" w:hAnsi="仿宋" w:eastAsia="仿宋" w:cs="仿宋"/>
          <w:b w:val="0"/>
          <w:bCs/>
          <w:color w:val="auto"/>
          <w:kern w:val="2"/>
          <w:sz w:val="32"/>
          <w:szCs w:val="32"/>
          <w:highlight w:val="none"/>
          <w:lang w:val="en-US" w:eastAsia="zh-CN" w:bidi="ar-SA"/>
        </w:rPr>
        <w:t>综上所述，年中预算调整幅度与本单位运转情况和履职情况相匹配，未出现资金收支不平衡以及债务风险等负面影响，确保了预算调整的合理性和必要性。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eastAsia="zh-CN"/>
        </w:rPr>
      </w:pPr>
      <w:r>
        <w:rPr>
          <w:rFonts w:hint="eastAsia" w:ascii="黑体" w:hAnsi="黑体" w:eastAsia="黑体" w:cs="黑体"/>
          <w:b w:val="0"/>
          <w:bCs/>
          <w:color w:val="auto"/>
          <w:sz w:val="32"/>
          <w:szCs w:val="32"/>
          <w:highlight w:val="none"/>
          <w:lang w:val="en-US" w:eastAsia="zh-CN"/>
        </w:rPr>
        <w:t>3.资金使用主要内容、涉及的范围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我单位2023年度部门整体支出为2429.20万元，其中：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（1）基本支出</w:t>
      </w:r>
      <w:r>
        <w:rPr>
          <w:rFonts w:hint="eastAsia" w:ascii="仿宋" w:hAnsi="仿宋" w:eastAsia="仿宋" w:cs="仿宋"/>
          <w:b w:val="0"/>
          <w:bCs/>
          <w:color w:val="auto"/>
          <w:sz w:val="32"/>
          <w:szCs w:val="32"/>
          <w:highlight w:val="none"/>
          <w:lang w:val="en-US" w:eastAsia="zh-CN"/>
        </w:rPr>
        <w:t>2154</w:t>
      </w:r>
      <w:r>
        <w:rPr>
          <w:rFonts w:hint="eastAsia" w:ascii="仿宋" w:hAnsi="仿宋" w:eastAsia="仿宋" w:cs="仿宋"/>
          <w:color w:val="auto"/>
          <w:sz w:val="32"/>
          <w:szCs w:val="32"/>
          <w:highlight w:val="none"/>
          <w:lang w:val="en-US" w:eastAsia="zh-CN"/>
        </w:rPr>
        <w:t>万元，主要用于：</w:t>
      </w:r>
      <w:r>
        <w:rPr>
          <w:rFonts w:hint="eastAsia" w:ascii="仿宋" w:hAnsi="仿宋" w:eastAsia="仿宋" w:cs="仿宋"/>
          <w:color w:val="auto"/>
          <w:kern w:val="2"/>
          <w:sz w:val="32"/>
          <w:szCs w:val="32"/>
          <w:highlight w:val="none"/>
          <w:lang w:val="en-US" w:eastAsia="zh-CN" w:bidi="ar-SA"/>
        </w:rPr>
        <w:t>基本工资、津贴补贴、奖金、绩效工资、机关事业单位基本养老保险缴费、职业年金缴费、职工基本医疗保险缴费、公务员医疗补助缴费、其他社会保障缴费、住房公积金、其他工资福利支出、</w:t>
      </w:r>
      <w:r>
        <w:rPr>
          <w:rFonts w:hint="eastAsia" w:ascii="仿宋" w:hAnsi="仿宋" w:eastAsia="仿宋" w:cs="仿宋"/>
          <w:color w:val="auto"/>
          <w:sz w:val="32"/>
          <w:szCs w:val="32"/>
          <w:highlight w:val="none"/>
          <w:lang w:val="en-US" w:eastAsia="zh-CN"/>
        </w:rPr>
        <w:t>办公费、水费、电费、取暖费、邮电费、工会经费、公务用车运行维护费，其他交通费用、差旅费、培训费、</w:t>
      </w:r>
      <w:r>
        <w:rPr>
          <w:rFonts w:hint="eastAsia" w:ascii="仿宋" w:hAnsi="仿宋" w:eastAsia="仿宋" w:cs="仿宋"/>
          <w:color w:val="auto"/>
          <w:kern w:val="2"/>
          <w:sz w:val="32"/>
          <w:szCs w:val="32"/>
          <w:highlight w:val="none"/>
          <w:lang w:val="en-US" w:eastAsia="zh-CN" w:bidi="ar-SA"/>
        </w:rPr>
        <w:t>退休费，生活补助，医疗费补助、奖励金、房屋建筑构建等。</w:t>
      </w:r>
    </w:p>
    <w:p>
      <w:pPr>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（2）项目支出</w:t>
      </w:r>
      <w:r>
        <w:rPr>
          <w:rFonts w:hint="eastAsia" w:ascii="仿宋" w:hAnsi="仿宋" w:eastAsia="仿宋" w:cs="仿宋"/>
          <w:b w:val="0"/>
          <w:bCs/>
          <w:color w:val="auto"/>
          <w:sz w:val="32"/>
          <w:szCs w:val="32"/>
          <w:highlight w:val="none"/>
          <w:lang w:val="en-US" w:eastAsia="zh-CN"/>
        </w:rPr>
        <w:t>275.20</w:t>
      </w:r>
      <w:r>
        <w:rPr>
          <w:rFonts w:hint="eastAsia" w:ascii="仿宋" w:hAnsi="仿宋" w:eastAsia="仿宋" w:cs="仿宋"/>
          <w:color w:val="auto"/>
          <w:sz w:val="32"/>
          <w:szCs w:val="32"/>
          <w:highlight w:val="none"/>
          <w:lang w:val="en-US" w:eastAsia="zh-CN"/>
        </w:rPr>
        <w:t>万元，主要用于</w:t>
      </w:r>
      <w:r>
        <w:rPr>
          <w:rFonts w:hint="eastAsia" w:ascii="仿宋" w:hAnsi="仿宋" w:eastAsia="仿宋" w:cs="仿宋"/>
          <w:b w:val="0"/>
          <w:bCs w:val="0"/>
          <w:color w:val="auto"/>
          <w:kern w:val="2"/>
          <w:sz w:val="32"/>
          <w:szCs w:val="32"/>
          <w:highlight w:val="none"/>
          <w:lang w:val="en-US" w:eastAsia="zh-CN" w:bidi="ar-SA"/>
        </w:rPr>
        <w:t>社区文化阵地宣传项目4.00万元、华凌商圈党群服务中心打造及社区文化阵地建设项目31.00万元、原水电三处退休人员生活补助项目59.61万元、双拥社区健身中心建设项目98.99万元、双拥社区健身中心建设项目6.00万元、国有企业退休人员社会化管理项目75.59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二、部门单位整体支出管理及使用情况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（一）基本支出投入、管理和使用情况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1.基本支出投入和使用情况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2023年我部门基本支出年初预算安排1910.69万元，全年预算数2153.99万元，全年实际支出数2153.99万元，其中：人员经费2049.61万元，公用经费104.38万元。全年预算执行率100.00%。</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2.基本支出管理情况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基本支出严格按照财务管理制度执行。人员工资由相关部门严格审核，按月申报及发放。基本公用经费主要用于支付单位日常的办公费、水费、电费、邮电费、取暖费、差旅费、培训费、工会经费、公务用车运行维护费、其他交通费用等。公务用车运行维护费主要用于单位车辆加油、维修及购买车辆保险。</w:t>
      </w:r>
    </w:p>
    <w:p>
      <w:pPr>
        <w:pStyle w:val="3"/>
        <w:keepNext/>
        <w:keepLines/>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（二）项目支出投入、管理和使用情况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1.项目支出投入和使用情况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2023年本单位共安排6个项目，全年预算数为275.20万元，全年实际支出数275.20万元，执行率100.00%。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其中:上级安排项目4个238.2万元，本级安排项目2个37.00万元,其他资金安排项目0个0.00万元。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2.项目支出管理情况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（2）资金拨付审批手续完整。项目资金专款专用，不存在支出依据不合规，序列项目支出，截留，挤占，挪用和超标准支出等现象，使项目资金的运用得到了合理的控制，项目得到了切实的保障。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会计信息质量真实。严格执行《会计法》等财经法规，严格按照相关会计制度办理会计业务，进行会计核算，并做好会计记录，真实的反映项目资金管理情况，并接受财政、审批部门及上级主管部门的检查、监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（4）执行预决算管理。严格按预算管理要求使用资金，严格按进度和合同拨付资金，严格执行政府采购制度；严格执行国库集中支付制度，严防截留、挪用资金。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Style w:val="11"/>
          <w:rFonts w:hint="eastAsia" w:ascii="仿宋_GB2312" w:hAnsi="楷体" w:eastAsia="仿宋_GB2312" w:cs="Times New Roman"/>
          <w:b w:val="0"/>
          <w:color w:val="auto"/>
          <w:spacing w:val="-4"/>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三、部门单位整体支出绩效分析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1"/>
          <w:rFonts w:hint="eastAsia" w:ascii="仿宋" w:hAnsi="仿宋" w:eastAsia="仿宋" w:cs="仿宋"/>
          <w:b w:val="0"/>
          <w:color w:val="auto"/>
          <w:spacing w:val="-4"/>
          <w:sz w:val="32"/>
          <w:szCs w:val="32"/>
          <w:highlight w:val="none"/>
          <w:lang w:val="en-US" w:eastAsia="zh-CN"/>
        </w:rPr>
      </w:pPr>
      <w:r>
        <w:rPr>
          <w:rStyle w:val="11"/>
          <w:rFonts w:hint="eastAsia" w:ascii="仿宋" w:hAnsi="仿宋" w:eastAsia="仿宋" w:cs="仿宋"/>
          <w:b w:val="0"/>
          <w:color w:val="auto"/>
          <w:spacing w:val="-4"/>
          <w:sz w:val="32"/>
          <w:szCs w:val="32"/>
          <w:highlight w:val="none"/>
          <w:lang w:val="en-US" w:eastAsia="zh-CN"/>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1"/>
          <w:rFonts w:hint="eastAsia" w:ascii="仿宋" w:hAnsi="仿宋" w:eastAsia="仿宋" w:cs="仿宋"/>
          <w:b w:val="0"/>
          <w:color w:val="auto"/>
          <w:spacing w:val="-4"/>
          <w:sz w:val="32"/>
          <w:szCs w:val="32"/>
          <w:highlight w:val="none"/>
          <w:lang w:val="en-US" w:eastAsia="zh-CN"/>
        </w:rPr>
      </w:pPr>
      <w:r>
        <w:rPr>
          <w:rStyle w:val="11"/>
          <w:rFonts w:hint="eastAsia" w:ascii="仿宋" w:hAnsi="仿宋" w:eastAsia="仿宋" w:cs="仿宋"/>
          <w:b w:val="0"/>
          <w:color w:val="auto"/>
          <w:spacing w:val="-4"/>
          <w:sz w:val="32"/>
          <w:szCs w:val="32"/>
          <w:highlight w:val="none"/>
          <w:lang w:val="en-US" w:eastAsia="zh-CN"/>
        </w:rPr>
        <w:t>我单位将部门单位整体绩效目标细化分解为具体的绩效指标，一级指标共1条，二级指标共1条，三级指标共4条，其中量化指标条数共4条，所有绩效指标均通过清晰、可衡量的指标值予以体现。</w:t>
      </w:r>
    </w:p>
    <w:p>
      <w:pPr>
        <w:pageBreakBefore w:val="0"/>
        <w:kinsoku/>
        <w:wordWrap/>
        <w:overflowPunct/>
        <w:topLinePunct w:val="0"/>
        <w:autoSpaceDE/>
        <w:autoSpaceDN/>
        <w:bidi w:val="0"/>
        <w:adjustRightInd/>
        <w:spacing w:line="600" w:lineRule="exact"/>
        <w:ind w:firstLine="624" w:firstLineChars="200"/>
        <w:textAlignment w:val="auto"/>
        <w:rPr>
          <w:rStyle w:val="11"/>
          <w:rFonts w:hint="eastAsia" w:ascii="黑体" w:hAnsi="黑体" w:eastAsia="黑体" w:cs="黑体"/>
          <w:b w:val="0"/>
          <w:bCs/>
          <w:color w:val="auto"/>
          <w:spacing w:val="-4"/>
          <w:sz w:val="32"/>
          <w:szCs w:val="32"/>
          <w:highlight w:val="none"/>
          <w:lang w:val="en-US" w:eastAsia="zh-CN"/>
        </w:rPr>
      </w:pPr>
      <w:r>
        <w:rPr>
          <w:rStyle w:val="11"/>
          <w:rFonts w:hint="eastAsia" w:ascii="黑体" w:hAnsi="黑体" w:eastAsia="黑体" w:cs="黑体"/>
          <w:b w:val="0"/>
          <w:bCs/>
          <w:color w:val="auto"/>
          <w:spacing w:val="-4"/>
          <w:sz w:val="32"/>
          <w:szCs w:val="32"/>
          <w:highlight w:val="none"/>
          <w:lang w:val="en-US" w:eastAsia="zh-CN"/>
        </w:rPr>
        <w:t>（一）指标一：运行成本</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1"/>
          <w:rFonts w:hint="eastAsia" w:ascii="仿宋" w:hAnsi="仿宋" w:eastAsia="仿宋" w:cs="仿宋"/>
          <w:b w:val="0"/>
          <w:color w:val="auto"/>
          <w:spacing w:val="-4"/>
          <w:sz w:val="32"/>
          <w:szCs w:val="32"/>
          <w:highlight w:val="none"/>
          <w:lang w:val="en-US" w:eastAsia="zh-CN"/>
        </w:rPr>
      </w:pPr>
      <w:r>
        <w:rPr>
          <w:rStyle w:val="11"/>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11"/>
          <w:rFonts w:hint="eastAsia" w:ascii="黑体" w:hAnsi="黑体" w:eastAsia="黑体" w:cs="黑体"/>
          <w:b w:val="0"/>
          <w:bCs/>
          <w:color w:val="auto"/>
          <w:spacing w:val="-4"/>
          <w:sz w:val="32"/>
          <w:szCs w:val="32"/>
          <w:highlight w:val="none"/>
          <w:lang w:val="en-US" w:eastAsia="zh-CN"/>
        </w:rPr>
      </w:pPr>
      <w:r>
        <w:rPr>
          <w:rStyle w:val="11"/>
          <w:rFonts w:hint="eastAsia" w:ascii="黑体" w:hAnsi="黑体" w:eastAsia="黑体" w:cs="黑体"/>
          <w:b w:val="0"/>
          <w:bCs/>
          <w:color w:val="auto"/>
          <w:spacing w:val="-4"/>
          <w:sz w:val="32"/>
          <w:szCs w:val="32"/>
          <w:highlight w:val="none"/>
          <w:lang w:val="en-US" w:eastAsia="zh-CN"/>
        </w:rPr>
        <w:t>（二）指标二：管理效率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1"/>
          <w:rFonts w:hint="eastAsia" w:ascii="仿宋" w:hAnsi="仿宋" w:eastAsia="仿宋" w:cs="仿宋"/>
          <w:b w:val="0"/>
          <w:color w:val="auto"/>
          <w:spacing w:val="-4"/>
          <w:sz w:val="32"/>
          <w:szCs w:val="32"/>
          <w:highlight w:val="none"/>
          <w:lang w:val="en-US" w:eastAsia="zh-CN"/>
        </w:rPr>
      </w:pPr>
      <w:r>
        <w:rPr>
          <w:rStyle w:val="11"/>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11"/>
          <w:rFonts w:hint="eastAsia" w:ascii="黑体" w:hAnsi="黑体" w:eastAsia="黑体" w:cs="黑体"/>
          <w:b w:val="0"/>
          <w:bCs/>
          <w:color w:val="auto"/>
          <w:spacing w:val="-4"/>
          <w:sz w:val="32"/>
          <w:szCs w:val="32"/>
          <w:highlight w:val="none"/>
          <w:lang w:val="en-US" w:eastAsia="zh-CN"/>
        </w:rPr>
      </w:pPr>
      <w:r>
        <w:rPr>
          <w:rStyle w:val="11"/>
          <w:rFonts w:hint="eastAsia" w:ascii="黑体" w:hAnsi="黑体" w:eastAsia="黑体" w:cs="黑体"/>
          <w:b w:val="0"/>
          <w:bCs/>
          <w:color w:val="auto"/>
          <w:spacing w:val="-4"/>
          <w:sz w:val="32"/>
          <w:szCs w:val="32"/>
          <w:highlight w:val="none"/>
          <w:lang w:val="en-US" w:eastAsia="zh-CN"/>
        </w:rPr>
        <w:t>（三）指标三：履职效能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1"/>
          <w:rFonts w:hint="eastAsia" w:ascii="仿宋" w:hAnsi="仿宋" w:eastAsia="仿宋" w:cs="仿宋"/>
          <w:b w:val="0"/>
          <w:color w:val="auto"/>
          <w:spacing w:val="-4"/>
          <w:sz w:val="32"/>
          <w:szCs w:val="32"/>
          <w:highlight w:val="none"/>
          <w:lang w:val="en-US" w:eastAsia="zh-CN"/>
        </w:rPr>
      </w:pPr>
      <w:r>
        <w:rPr>
          <w:rStyle w:val="11"/>
          <w:rFonts w:hint="eastAsia" w:ascii="仿宋" w:hAnsi="仿宋" w:eastAsia="仿宋" w:cs="仿宋"/>
          <w:b w:val="0"/>
          <w:color w:val="auto"/>
          <w:spacing w:val="-4"/>
          <w:sz w:val="32"/>
          <w:szCs w:val="32"/>
          <w:highlight w:val="none"/>
          <w:lang w:val="en-US" w:eastAsia="zh-CN"/>
        </w:rPr>
        <w:t>数量指标1：开展文化活动次数,预期指标值为：&gt;=12次；监控节点完成值：=6次；评价实际完成值：=12次；指标完成率：100.00%；成效分析：通过单位正常运转，提高了干部及群众的综合素质和生活质量，有效提升了服务群众的水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1"/>
          <w:rFonts w:hint="eastAsia" w:ascii="仿宋" w:hAnsi="仿宋" w:eastAsia="仿宋" w:cs="仿宋"/>
          <w:b w:val="0"/>
          <w:bCs/>
          <w:color w:val="auto"/>
          <w:spacing w:val="-4"/>
          <w:sz w:val="32"/>
          <w:szCs w:val="32"/>
          <w:highlight w:val="none"/>
          <w:lang w:val="en-US" w:eastAsia="zh-CN"/>
        </w:rPr>
      </w:pPr>
      <w:r>
        <w:rPr>
          <w:rStyle w:val="11"/>
          <w:rFonts w:hint="eastAsia" w:ascii="仿宋" w:hAnsi="仿宋" w:eastAsia="仿宋" w:cs="仿宋"/>
          <w:b w:val="0"/>
          <w:bCs/>
          <w:color w:val="auto"/>
          <w:spacing w:val="-4"/>
          <w:sz w:val="32"/>
          <w:szCs w:val="32"/>
          <w:highlight w:val="none"/>
          <w:lang w:val="en-US" w:eastAsia="zh-CN"/>
        </w:rPr>
        <w:t>数量指标2：为民办实事件数,预期指标值为：&gt;=7件；监控节点完成值：=4件；评价实际完成值：=7件；指标完成率：100.00%；</w:t>
      </w:r>
      <w:r>
        <w:rPr>
          <w:rStyle w:val="11"/>
          <w:rFonts w:hint="eastAsia" w:ascii="仿宋" w:hAnsi="仿宋" w:eastAsia="仿宋" w:cs="仿宋"/>
          <w:b w:val="0"/>
          <w:color w:val="auto"/>
          <w:spacing w:val="-4"/>
          <w:sz w:val="32"/>
          <w:szCs w:val="32"/>
          <w:highlight w:val="none"/>
          <w:lang w:val="en-US" w:eastAsia="zh-CN"/>
        </w:rPr>
        <w:t>成效分析：通过单位正常运转，提高了为辖区居民解决矛盾纠纷、困难访求、扶贫帮困等为民办实事能力。</w:t>
      </w:r>
    </w:p>
    <w:p>
      <w:pPr>
        <w:pStyle w:val="3"/>
        <w:keepNext/>
        <w:keepLines/>
        <w:pageBreakBefore w:val="0"/>
        <w:widowControl w:val="0"/>
        <w:kinsoku/>
        <w:wordWrap/>
        <w:overflowPunct/>
        <w:topLinePunct w:val="0"/>
        <w:autoSpaceDE/>
        <w:autoSpaceDN/>
        <w:bidi w:val="0"/>
        <w:adjustRightInd/>
        <w:snapToGrid/>
        <w:ind w:firstLine="624" w:firstLineChars="200"/>
        <w:textAlignment w:val="auto"/>
        <w:rPr>
          <w:rFonts w:hint="eastAsia"/>
          <w:color w:val="auto"/>
          <w:highlight w:val="none"/>
          <w:lang w:val="en-US" w:eastAsia="zh-CN"/>
        </w:rPr>
      </w:pPr>
      <w:r>
        <w:rPr>
          <w:rStyle w:val="11"/>
          <w:rFonts w:hint="eastAsia" w:ascii="仿宋" w:hAnsi="仿宋" w:eastAsia="仿宋" w:cs="仿宋"/>
          <w:b w:val="0"/>
          <w:bCs/>
          <w:color w:val="auto"/>
          <w:spacing w:val="-4"/>
          <w:sz w:val="32"/>
          <w:szCs w:val="32"/>
          <w:highlight w:val="none"/>
          <w:lang w:val="en-US" w:eastAsia="zh-CN"/>
        </w:rPr>
        <w:t>数量指标3：信访事项化解数量,预期指标值为：&gt;=5件；监控节点完成值：=3件；评价实际完成值：=5件；指标完成率：100.00%；成效分析：通过单位正常运转，提升了社区党组织服务群众能力。</w:t>
      </w:r>
    </w:p>
    <w:p>
      <w:pPr>
        <w:pStyle w:val="3"/>
        <w:keepNext/>
        <w:keepLines/>
        <w:pageBreakBefore w:val="0"/>
        <w:widowControl w:val="0"/>
        <w:kinsoku/>
        <w:wordWrap/>
        <w:overflowPunct/>
        <w:topLinePunct w:val="0"/>
        <w:autoSpaceDE/>
        <w:autoSpaceDN/>
        <w:bidi w:val="0"/>
        <w:adjustRightInd/>
        <w:snapToGrid/>
        <w:ind w:firstLine="624" w:firstLineChars="200"/>
        <w:textAlignment w:val="auto"/>
        <w:rPr>
          <w:rFonts w:hint="eastAsia"/>
          <w:highlight w:val="none"/>
          <w:lang w:val="en-US" w:eastAsia="zh-CN"/>
        </w:rPr>
      </w:pPr>
      <w:r>
        <w:rPr>
          <w:rStyle w:val="11"/>
          <w:rFonts w:hint="eastAsia" w:ascii="仿宋" w:hAnsi="仿宋" w:eastAsia="仿宋" w:cs="仿宋"/>
          <w:b w:val="0"/>
          <w:bCs/>
          <w:color w:val="auto"/>
          <w:spacing w:val="-4"/>
          <w:sz w:val="32"/>
          <w:szCs w:val="32"/>
          <w:highlight w:val="none"/>
          <w:lang w:val="en-US" w:eastAsia="zh-CN"/>
        </w:rPr>
        <w:t>数量指标4：节日慰问人次,预期指标值为：&gt;=30人次；监控节点完成值：=15人次；评价实际完成值：=34人次；指标完成率：100.00%；成效分析：通过单位正常运转，让辖区宗教人士、退休老干部、辖区老党员等感受到了党的温暖。</w:t>
      </w:r>
    </w:p>
    <w:p>
      <w:pPr>
        <w:pageBreakBefore w:val="0"/>
        <w:kinsoku/>
        <w:wordWrap/>
        <w:overflowPunct/>
        <w:topLinePunct w:val="0"/>
        <w:autoSpaceDE/>
        <w:autoSpaceDN/>
        <w:bidi w:val="0"/>
        <w:adjustRightInd/>
        <w:spacing w:line="600" w:lineRule="exact"/>
        <w:ind w:firstLine="624" w:firstLineChars="200"/>
        <w:textAlignment w:val="auto"/>
        <w:rPr>
          <w:rStyle w:val="11"/>
          <w:rFonts w:hint="eastAsia" w:ascii="黑体" w:hAnsi="黑体" w:eastAsia="黑体" w:cs="黑体"/>
          <w:b w:val="0"/>
          <w:bCs/>
          <w:color w:val="auto"/>
          <w:spacing w:val="-4"/>
          <w:sz w:val="32"/>
          <w:szCs w:val="32"/>
          <w:highlight w:val="none"/>
          <w:lang w:val="en-US" w:eastAsia="zh-CN"/>
        </w:rPr>
      </w:pPr>
      <w:r>
        <w:rPr>
          <w:rStyle w:val="11"/>
          <w:rFonts w:hint="eastAsia" w:ascii="黑体" w:hAnsi="黑体" w:eastAsia="黑体" w:cs="黑体"/>
          <w:b w:val="0"/>
          <w:bCs/>
          <w:color w:val="auto"/>
          <w:spacing w:val="-4"/>
          <w:sz w:val="32"/>
          <w:szCs w:val="32"/>
          <w:highlight w:val="none"/>
          <w:lang w:val="en-US" w:eastAsia="zh-CN"/>
        </w:rPr>
        <w:t>（四）指标四：社会效益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1"/>
          <w:rFonts w:hint="eastAsia" w:ascii="仿宋" w:hAnsi="仿宋" w:eastAsia="仿宋" w:cs="仿宋"/>
          <w:b w:val="0"/>
          <w:color w:val="auto"/>
          <w:spacing w:val="-4"/>
          <w:sz w:val="32"/>
          <w:szCs w:val="32"/>
          <w:highlight w:val="none"/>
          <w:lang w:val="en-US" w:eastAsia="zh-CN"/>
        </w:rPr>
      </w:pPr>
      <w:r>
        <w:rPr>
          <w:rStyle w:val="11"/>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11"/>
          <w:rFonts w:hint="eastAsia" w:ascii="黑体" w:hAnsi="黑体" w:eastAsia="黑体" w:cs="黑体"/>
          <w:b w:val="0"/>
          <w:bCs/>
          <w:color w:val="auto"/>
          <w:spacing w:val="-4"/>
          <w:sz w:val="32"/>
          <w:szCs w:val="32"/>
          <w:highlight w:val="none"/>
          <w:lang w:val="en-US" w:eastAsia="zh-CN"/>
        </w:rPr>
      </w:pPr>
      <w:r>
        <w:rPr>
          <w:rStyle w:val="11"/>
          <w:rFonts w:hint="eastAsia" w:ascii="黑体" w:hAnsi="黑体" w:eastAsia="黑体" w:cs="黑体"/>
          <w:b w:val="0"/>
          <w:bCs/>
          <w:color w:val="auto"/>
          <w:spacing w:val="-4"/>
          <w:sz w:val="32"/>
          <w:szCs w:val="32"/>
          <w:highlight w:val="none"/>
          <w:lang w:val="en-US" w:eastAsia="zh-CN"/>
        </w:rPr>
        <w:t>（五）指标五：可持续发展能力</w:t>
      </w:r>
    </w:p>
    <w:p>
      <w:pPr>
        <w:pageBreakBefore w:val="0"/>
        <w:kinsoku/>
        <w:wordWrap/>
        <w:overflowPunct/>
        <w:topLinePunct w:val="0"/>
        <w:autoSpaceDE/>
        <w:autoSpaceDN/>
        <w:bidi w:val="0"/>
        <w:adjustRightInd/>
        <w:spacing w:line="600" w:lineRule="exact"/>
        <w:ind w:firstLine="624" w:firstLineChars="200"/>
        <w:textAlignment w:val="auto"/>
        <w:rPr>
          <w:rStyle w:val="11"/>
          <w:rFonts w:hint="eastAsia" w:ascii="仿宋" w:hAnsi="仿宋" w:eastAsia="仿宋" w:cs="仿宋"/>
          <w:b w:val="0"/>
          <w:color w:val="auto"/>
          <w:spacing w:val="-4"/>
          <w:sz w:val="32"/>
          <w:szCs w:val="32"/>
          <w:highlight w:val="none"/>
          <w:lang w:val="en-US" w:eastAsia="zh-CN"/>
        </w:rPr>
      </w:pPr>
      <w:r>
        <w:rPr>
          <w:rStyle w:val="11"/>
          <w:rFonts w:hint="eastAsia" w:ascii="仿宋" w:hAnsi="仿宋" w:eastAsia="仿宋" w:cs="仿宋"/>
          <w:b w:val="0"/>
          <w:color w:val="auto"/>
          <w:spacing w:val="-4"/>
          <w:sz w:val="32"/>
          <w:szCs w:val="32"/>
          <w:highlight w:val="none"/>
          <w:lang w:val="en-US" w:eastAsia="zh-CN"/>
        </w:rPr>
        <w:t>无此项指标。</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1"/>
          <w:rFonts w:hint="eastAsia" w:ascii="黑体" w:hAnsi="黑体" w:eastAsia="黑体" w:cs="黑体"/>
          <w:b w:val="0"/>
          <w:bCs/>
          <w:color w:val="auto"/>
          <w:spacing w:val="-4"/>
          <w:sz w:val="32"/>
          <w:szCs w:val="32"/>
          <w:highlight w:val="none"/>
          <w:lang w:val="en-US" w:eastAsia="zh-CN"/>
        </w:rPr>
      </w:pPr>
      <w:r>
        <w:rPr>
          <w:rStyle w:val="11"/>
          <w:rFonts w:hint="eastAsia" w:ascii="黑体" w:hAnsi="黑体" w:eastAsia="黑体" w:cs="黑体"/>
          <w:b w:val="0"/>
          <w:bCs/>
          <w:color w:val="auto"/>
          <w:spacing w:val="-4"/>
          <w:sz w:val="32"/>
          <w:szCs w:val="32"/>
          <w:highlight w:val="none"/>
          <w:lang w:val="en-US" w:eastAsia="zh-CN"/>
        </w:rPr>
        <w:t>（六）指标六：服务对象满意度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1"/>
          <w:rFonts w:hint="eastAsia" w:ascii="仿宋" w:hAnsi="仿宋" w:eastAsia="仿宋" w:cs="仿宋"/>
          <w:b w:val="0"/>
          <w:color w:val="auto"/>
          <w:spacing w:val="-4"/>
          <w:sz w:val="32"/>
          <w:szCs w:val="32"/>
          <w:highlight w:val="none"/>
          <w:lang w:val="en-US" w:eastAsia="zh-CN"/>
        </w:rPr>
      </w:pPr>
      <w:r>
        <w:rPr>
          <w:rStyle w:val="11"/>
          <w:rFonts w:hint="eastAsia" w:ascii="仿宋" w:hAnsi="仿宋" w:eastAsia="仿宋" w:cs="仿宋"/>
          <w:b w:val="0"/>
          <w:color w:val="auto"/>
          <w:spacing w:val="-4"/>
          <w:sz w:val="32"/>
          <w:szCs w:val="32"/>
          <w:highlight w:val="none"/>
          <w:lang w:val="en-US" w:eastAsia="zh-CN"/>
        </w:rPr>
        <w:t>无此项指标。</w:t>
      </w:r>
    </w:p>
    <w:p>
      <w:pPr>
        <w:pStyle w:val="14"/>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11"/>
          <w:rFonts w:ascii="黑体" w:hAnsi="黑体" w:eastAsia="黑体"/>
          <w:b w:val="0"/>
          <w:bCs w:val="0"/>
          <w:color w:val="auto"/>
          <w:spacing w:val="-4"/>
          <w:sz w:val="32"/>
          <w:szCs w:val="32"/>
          <w:highlight w:val="none"/>
        </w:rPr>
      </w:pPr>
      <w:r>
        <w:rPr>
          <w:rStyle w:val="11"/>
          <w:rFonts w:hint="eastAsia" w:ascii="黑体" w:hAnsi="黑体" w:eastAsia="黑体"/>
          <w:b w:val="0"/>
          <w:bCs w:val="0"/>
          <w:color w:val="auto"/>
          <w:spacing w:val="-4"/>
          <w:sz w:val="32"/>
          <w:szCs w:val="32"/>
          <w:highlight w:val="none"/>
          <w:lang w:val="en-US" w:eastAsia="zh-CN"/>
        </w:rPr>
        <w:t>四、</w:t>
      </w:r>
      <w:r>
        <w:rPr>
          <w:rStyle w:val="11"/>
          <w:rFonts w:hint="eastAsia" w:ascii="黑体" w:hAnsi="黑体" w:eastAsia="黑体"/>
          <w:b w:val="0"/>
          <w:bCs w:val="0"/>
          <w:color w:val="auto"/>
          <w:spacing w:val="-4"/>
          <w:sz w:val="32"/>
          <w:szCs w:val="32"/>
          <w:highlight w:val="none"/>
          <w:lang w:eastAsia="zh-CN"/>
        </w:rPr>
        <w:t>评价结论</w:t>
      </w:r>
    </w:p>
    <w:p>
      <w:pPr>
        <w:pageBreakBefore w:val="0"/>
        <w:kinsoku/>
        <w:wordWrap/>
        <w:overflowPunct/>
        <w:topLinePunct w:val="0"/>
        <w:autoSpaceDE/>
        <w:autoSpaceDN/>
        <w:bidi w:val="0"/>
        <w:adjustRightInd/>
        <w:spacing w:line="600" w:lineRule="exact"/>
        <w:ind w:firstLine="624" w:firstLineChars="200"/>
        <w:textAlignment w:val="auto"/>
        <w:rPr>
          <w:rStyle w:val="11"/>
          <w:rFonts w:hint="eastAsia" w:ascii="仿宋" w:hAnsi="仿宋" w:eastAsia="仿宋" w:cs="仿宋"/>
          <w:b w:val="0"/>
          <w:bCs/>
          <w:color w:val="auto"/>
          <w:spacing w:val="-4"/>
          <w:sz w:val="32"/>
          <w:szCs w:val="32"/>
          <w:highlight w:val="none"/>
          <w:lang w:val="en-US" w:eastAsia="zh-CN"/>
        </w:rPr>
      </w:pPr>
      <w:r>
        <w:rPr>
          <w:rStyle w:val="11"/>
          <w:rFonts w:hint="eastAsia" w:ascii="仿宋" w:hAnsi="仿宋" w:eastAsia="仿宋" w:cs="仿宋"/>
          <w:b w:val="0"/>
          <w:bCs/>
          <w:color w:val="auto"/>
          <w:spacing w:val="-4"/>
          <w:sz w:val="32"/>
          <w:szCs w:val="32"/>
          <w:highlight w:val="none"/>
          <w:lang w:val="en-US" w:eastAsia="zh-CN"/>
        </w:rPr>
        <w:t>本部门严格按照科学公正、统筹兼顾、激励约束、公开透明的绩效评价原则，对本部门预算执行情况、部门单位整体支出管理及使用情况、部门单位整体支出绩效指标完成情况等进行了综合评价。</w:t>
      </w:r>
    </w:p>
    <w:p>
      <w:pPr>
        <w:pageBreakBefore w:val="0"/>
        <w:kinsoku/>
        <w:wordWrap/>
        <w:overflowPunct/>
        <w:topLinePunct w:val="0"/>
        <w:autoSpaceDE/>
        <w:autoSpaceDN/>
        <w:bidi w:val="0"/>
        <w:adjustRightInd/>
        <w:spacing w:line="600" w:lineRule="exact"/>
        <w:ind w:firstLine="624" w:firstLineChars="200"/>
        <w:textAlignment w:val="auto"/>
        <w:rPr>
          <w:rStyle w:val="11"/>
          <w:rFonts w:hint="eastAsia" w:ascii="仿宋" w:hAnsi="仿宋" w:eastAsia="仿宋" w:cs="仿宋"/>
          <w:b w:val="0"/>
          <w:bCs/>
          <w:color w:val="FF0000"/>
          <w:spacing w:val="-4"/>
          <w:sz w:val="32"/>
          <w:szCs w:val="32"/>
          <w:highlight w:val="none"/>
          <w:lang w:val="en-US" w:eastAsia="zh-CN"/>
        </w:rPr>
      </w:pPr>
      <w:r>
        <w:rPr>
          <w:rStyle w:val="11"/>
          <w:rFonts w:hint="eastAsia" w:ascii="仿宋" w:hAnsi="仿宋" w:eastAsia="仿宋" w:cs="仿宋"/>
          <w:b w:val="0"/>
          <w:bCs/>
          <w:color w:val="auto"/>
          <w:spacing w:val="-4"/>
          <w:sz w:val="32"/>
          <w:szCs w:val="32"/>
          <w:highlight w:val="none"/>
          <w:lang w:val="en-US" w:eastAsia="zh-CN"/>
        </w:rPr>
        <w:t>2023年度部门整体支出绩效自评综合得分100分，评价结果为“优”。</w:t>
      </w:r>
    </w:p>
    <w:p>
      <w:pPr>
        <w:pStyle w:val="14"/>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11"/>
          <w:rFonts w:hint="eastAsia" w:ascii="黑体" w:hAnsi="黑体" w:eastAsia="黑体" w:cs="黑体"/>
          <w:b w:val="0"/>
          <w:bCs w:val="0"/>
          <w:color w:val="auto"/>
          <w:spacing w:val="-4"/>
          <w:sz w:val="32"/>
          <w:szCs w:val="32"/>
          <w:highlight w:val="none"/>
        </w:rPr>
      </w:pPr>
      <w:r>
        <w:rPr>
          <w:rStyle w:val="11"/>
          <w:rFonts w:hint="eastAsia" w:ascii="黑体" w:hAnsi="黑体" w:eastAsia="黑体" w:cs="黑体"/>
          <w:b w:val="0"/>
          <w:bCs w:val="0"/>
          <w:color w:val="auto"/>
          <w:spacing w:val="-4"/>
          <w:sz w:val="32"/>
          <w:szCs w:val="32"/>
          <w:highlight w:val="none"/>
          <w:lang w:val="en-US" w:eastAsia="zh-CN"/>
        </w:rPr>
        <w:t>五、</w:t>
      </w:r>
      <w:r>
        <w:rPr>
          <w:rStyle w:val="11"/>
          <w:rFonts w:hint="eastAsia" w:ascii="黑体" w:hAnsi="黑体" w:eastAsia="黑体" w:cs="黑体"/>
          <w:b w:val="0"/>
          <w:bCs w:val="0"/>
          <w:color w:val="auto"/>
          <w:spacing w:val="-4"/>
          <w:sz w:val="32"/>
          <w:szCs w:val="32"/>
          <w:highlight w:val="none"/>
        </w:rPr>
        <w:t>存在的主要问题</w:t>
      </w:r>
      <w:r>
        <w:rPr>
          <w:rStyle w:val="11"/>
          <w:rFonts w:hint="eastAsia" w:ascii="黑体" w:hAnsi="黑体" w:eastAsia="黑体" w:cs="黑体"/>
          <w:b w:val="0"/>
          <w:bCs w:val="0"/>
          <w:color w:val="auto"/>
          <w:spacing w:val="-4"/>
          <w:sz w:val="32"/>
          <w:szCs w:val="32"/>
          <w:highlight w:val="none"/>
          <w:lang w:eastAsia="zh-CN"/>
        </w:rPr>
        <w:t>及原因分析</w:t>
      </w:r>
    </w:p>
    <w:p>
      <w:pPr>
        <w:pageBreakBefore w:val="0"/>
        <w:kinsoku/>
        <w:wordWrap/>
        <w:overflowPunct/>
        <w:topLinePunct w:val="0"/>
        <w:autoSpaceDE/>
        <w:autoSpaceDN/>
        <w:bidi w:val="0"/>
        <w:adjustRightInd/>
        <w:spacing w:line="600" w:lineRule="exact"/>
        <w:ind w:firstLine="624" w:firstLineChars="200"/>
        <w:textAlignment w:val="auto"/>
        <w:rPr>
          <w:rStyle w:val="11"/>
          <w:rFonts w:hint="eastAsia" w:ascii="仿宋" w:hAnsi="仿宋" w:eastAsia="仿宋" w:cs="仿宋"/>
          <w:b w:val="0"/>
          <w:bCs/>
          <w:color w:val="auto"/>
          <w:spacing w:val="-4"/>
          <w:sz w:val="32"/>
          <w:szCs w:val="32"/>
          <w:highlight w:val="none"/>
          <w:lang w:val="en-US" w:eastAsia="zh-CN"/>
        </w:rPr>
      </w:pPr>
      <w:r>
        <w:rPr>
          <w:rStyle w:val="11"/>
          <w:rFonts w:hint="eastAsia" w:ascii="仿宋" w:hAnsi="仿宋" w:eastAsia="仿宋" w:cs="仿宋"/>
          <w:b w:val="0"/>
          <w:bCs/>
          <w:color w:val="auto"/>
          <w:spacing w:val="-4"/>
          <w:sz w:val="32"/>
          <w:szCs w:val="32"/>
          <w:highlight w:val="none"/>
          <w:lang w:val="en-US" w:eastAsia="zh-CN"/>
        </w:rPr>
        <w:t xml:space="preserve">1、信息与沟通衔接不够。由于街道的财务核算由街道统一核算，各社区实行报帐制，沟通衔接不够，极易形成账物分离的资产管理现状，造成账实不符的问题。   </w:t>
      </w:r>
    </w:p>
    <w:p>
      <w:pPr>
        <w:pageBreakBefore w:val="0"/>
        <w:kinsoku/>
        <w:wordWrap/>
        <w:overflowPunct/>
        <w:topLinePunct w:val="0"/>
        <w:autoSpaceDE/>
        <w:autoSpaceDN/>
        <w:bidi w:val="0"/>
        <w:adjustRightInd/>
        <w:spacing w:line="600" w:lineRule="exact"/>
        <w:ind w:firstLine="624" w:firstLineChars="200"/>
        <w:textAlignment w:val="auto"/>
        <w:rPr>
          <w:rStyle w:val="11"/>
          <w:rFonts w:hint="eastAsia" w:ascii="仿宋" w:hAnsi="仿宋" w:eastAsia="仿宋" w:cs="仿宋"/>
          <w:b w:val="0"/>
          <w:bCs/>
          <w:color w:val="auto"/>
          <w:spacing w:val="-4"/>
          <w:sz w:val="32"/>
          <w:szCs w:val="32"/>
          <w:highlight w:val="none"/>
          <w:lang w:val="en-US" w:eastAsia="zh-CN"/>
        </w:rPr>
      </w:pPr>
      <w:r>
        <w:rPr>
          <w:rStyle w:val="11"/>
          <w:rFonts w:hint="eastAsia" w:ascii="仿宋" w:hAnsi="仿宋" w:eastAsia="仿宋" w:cs="仿宋"/>
          <w:b w:val="0"/>
          <w:bCs/>
          <w:color w:val="auto"/>
          <w:spacing w:val="-4"/>
          <w:sz w:val="32"/>
          <w:szCs w:val="32"/>
          <w:highlight w:val="none"/>
          <w:lang w:val="en-US" w:eastAsia="zh-CN"/>
        </w:rPr>
        <w:t>2、缺乏全面的内部监督机制。内部监督机构对内部控制工作没有给予足够的重视和支持，对内部控制的监控力度不够，监督考核机制不到位。内部监督仅限于对财务控制的监督，缺乏对内部控制六大业务运行的有效性分析及监督，以及客观公正的评价。</w:t>
      </w:r>
    </w:p>
    <w:p>
      <w:pPr>
        <w:pStyle w:val="14"/>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11"/>
          <w:rFonts w:hint="eastAsia" w:ascii="黑体" w:hAnsi="黑体" w:eastAsia="黑体" w:cs="黑体"/>
          <w:b w:val="0"/>
          <w:bCs w:val="0"/>
          <w:color w:val="auto"/>
          <w:spacing w:val="-4"/>
          <w:sz w:val="32"/>
          <w:szCs w:val="32"/>
          <w:highlight w:val="none"/>
        </w:rPr>
      </w:pPr>
      <w:r>
        <w:rPr>
          <w:rStyle w:val="11"/>
          <w:rFonts w:hint="eastAsia" w:ascii="黑体" w:hAnsi="黑体" w:eastAsia="黑体" w:cs="黑体"/>
          <w:b w:val="0"/>
          <w:bCs w:val="0"/>
          <w:color w:val="auto"/>
          <w:spacing w:val="-4"/>
          <w:sz w:val="32"/>
          <w:szCs w:val="32"/>
          <w:highlight w:val="none"/>
          <w:lang w:val="en-US" w:eastAsia="zh-CN"/>
        </w:rPr>
        <w:t>六、</w:t>
      </w:r>
      <w:r>
        <w:rPr>
          <w:rStyle w:val="11"/>
          <w:rFonts w:hint="eastAsia" w:ascii="黑体" w:hAnsi="黑体" w:eastAsia="黑体" w:cs="黑体"/>
          <w:b w:val="0"/>
          <w:bCs w:val="0"/>
          <w:color w:val="auto"/>
          <w:spacing w:val="-4"/>
          <w:sz w:val="32"/>
          <w:szCs w:val="32"/>
          <w:highlight w:val="none"/>
        </w:rPr>
        <w:t>改进措施和建议</w:t>
      </w:r>
    </w:p>
    <w:p>
      <w:pPr>
        <w:pageBreakBefore w:val="0"/>
        <w:kinsoku/>
        <w:wordWrap/>
        <w:overflowPunct/>
        <w:topLinePunct w:val="0"/>
        <w:autoSpaceDE/>
        <w:autoSpaceDN/>
        <w:bidi w:val="0"/>
        <w:adjustRightInd/>
        <w:spacing w:line="600" w:lineRule="exact"/>
        <w:ind w:firstLine="624" w:firstLineChars="200"/>
        <w:textAlignment w:val="auto"/>
        <w:rPr>
          <w:rStyle w:val="11"/>
          <w:rFonts w:hint="eastAsia" w:ascii="仿宋" w:hAnsi="仿宋" w:eastAsia="仿宋" w:cs="仿宋"/>
          <w:b w:val="0"/>
          <w:bCs/>
          <w:color w:val="auto"/>
          <w:spacing w:val="-4"/>
          <w:sz w:val="32"/>
          <w:szCs w:val="32"/>
          <w:highlight w:val="none"/>
          <w:lang w:val="en-US" w:eastAsia="zh-CN"/>
        </w:rPr>
      </w:pPr>
      <w:r>
        <w:rPr>
          <w:rStyle w:val="11"/>
          <w:rFonts w:hint="eastAsia" w:ascii="仿宋" w:hAnsi="仿宋" w:eastAsia="仿宋" w:cs="仿宋"/>
          <w:b w:val="0"/>
          <w:bCs/>
          <w:color w:val="auto"/>
          <w:spacing w:val="-4"/>
          <w:sz w:val="32"/>
          <w:szCs w:val="32"/>
          <w:highlight w:val="none"/>
          <w:lang w:val="en-US" w:eastAsia="zh-CN"/>
        </w:rPr>
        <w:t>1、根据《会计法》、《内部控制规范》及相关部门对健全和完善内部控制的要求，结合自身的业务特点和管理需要建立健全内控制度，细化固定资产计价、购置、验收、日常管理、调拨、清查、盘点及处置等一系列管理措施，明确责任科室和使用人，压实使用人责任。并由综合协调办牵头联合各社区定期对机关各科室、各社区、网格阵地现有的固定资产进行全面清查。</w:t>
      </w:r>
    </w:p>
    <w:p>
      <w:pPr>
        <w:pageBreakBefore w:val="0"/>
        <w:kinsoku/>
        <w:wordWrap/>
        <w:overflowPunct/>
        <w:topLinePunct w:val="0"/>
        <w:autoSpaceDE/>
        <w:autoSpaceDN/>
        <w:bidi w:val="0"/>
        <w:adjustRightInd/>
        <w:spacing w:line="600" w:lineRule="exact"/>
        <w:ind w:firstLine="624" w:firstLineChars="200"/>
        <w:textAlignment w:val="auto"/>
        <w:rPr>
          <w:rStyle w:val="11"/>
          <w:rFonts w:hint="eastAsia" w:ascii="仿宋" w:hAnsi="仿宋" w:eastAsia="仿宋" w:cs="仿宋"/>
          <w:b w:val="0"/>
          <w:bCs/>
          <w:color w:val="auto"/>
          <w:spacing w:val="-4"/>
          <w:sz w:val="32"/>
          <w:szCs w:val="32"/>
          <w:highlight w:val="none"/>
          <w:lang w:val="en-US" w:eastAsia="zh-CN"/>
        </w:rPr>
      </w:pPr>
      <w:r>
        <w:rPr>
          <w:rStyle w:val="11"/>
          <w:rFonts w:hint="eastAsia" w:ascii="仿宋" w:hAnsi="仿宋" w:eastAsia="仿宋" w:cs="仿宋"/>
          <w:b w:val="0"/>
          <w:bCs/>
          <w:color w:val="auto"/>
          <w:spacing w:val="-4"/>
          <w:sz w:val="32"/>
          <w:szCs w:val="32"/>
          <w:highlight w:val="none"/>
          <w:lang w:val="en-US" w:eastAsia="zh-CN"/>
        </w:rPr>
        <w:t>2、找准失控环节，明确自控重点，在日常绩效监控工作中存在着一定程度的“重分配、轻管理、重支出、轻绩效”的情况，对于预算管理、资金拨付与费用支出管理、报销审批程序以及对错误核算与错误支出的纠正等经济活动方面，确定单位自控的重点和目标，设立合理的组织结构，确认相关的管理职能和关系，为每个部门划分责任权限，明确建立授权和分配责任的方法，因事设人，视能授权，责任到位，且责权对等，以增加组织的绩效控制意识。</w:t>
      </w:r>
    </w:p>
    <w:p>
      <w:pPr>
        <w:pStyle w:val="14"/>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11"/>
          <w:rFonts w:hint="eastAsia" w:ascii="黑体" w:hAnsi="黑体" w:eastAsia="黑体" w:cs="黑体"/>
          <w:b w:val="0"/>
          <w:bCs w:val="0"/>
          <w:color w:val="auto"/>
          <w:spacing w:val="-4"/>
          <w:sz w:val="32"/>
          <w:szCs w:val="32"/>
          <w:highlight w:val="none"/>
        </w:rPr>
      </w:pPr>
      <w:r>
        <w:rPr>
          <w:rStyle w:val="11"/>
          <w:rFonts w:hint="eastAsia" w:ascii="黑体" w:hAnsi="黑体" w:eastAsia="黑体" w:cs="黑体"/>
          <w:b w:val="0"/>
          <w:bCs w:val="0"/>
          <w:color w:val="auto"/>
          <w:spacing w:val="-4"/>
          <w:sz w:val="32"/>
          <w:szCs w:val="32"/>
          <w:highlight w:val="none"/>
          <w:lang w:val="en-US" w:eastAsia="zh-CN"/>
        </w:rPr>
        <w:t>七、</w:t>
      </w:r>
      <w:r>
        <w:rPr>
          <w:rStyle w:val="11"/>
          <w:rFonts w:hint="eastAsia" w:ascii="黑体" w:hAnsi="黑体" w:eastAsia="黑体" w:cs="黑体"/>
          <w:b w:val="0"/>
          <w:bCs w:val="0"/>
          <w:color w:val="auto"/>
          <w:spacing w:val="-4"/>
          <w:sz w:val="32"/>
          <w:szCs w:val="32"/>
          <w:highlight w:val="none"/>
        </w:rPr>
        <w:t>附表：《部门整体支出绩效自评表》</w:t>
      </w:r>
    </w:p>
    <w:sectPr>
      <w:headerReference r:id="rId4" w:type="first"/>
      <w:footerReference r:id="rId6" w:type="first"/>
      <w:headerReference r:id="rId3" w:type="even"/>
      <w:footerReference r:id="rId5" w:type="even"/>
      <w:pgSz w:w="11906" w:h="16838"/>
      <w:pgMar w:top="1440" w:right="1800" w:bottom="1440" w:left="1800" w:header="851" w:footer="992" w:gutter="0"/>
      <w:pgNumType w:fmt="numberInDash" w:start="2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7"/>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DB9B285-00F4-40B7-94B0-BF135C4FE52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embedRegular r:id="rId2" w:fontKey="{313E9E4C-4169-4BF9-AD0C-EF07A4D5327C}"/>
  </w:font>
  <w:font w:name="仿宋_GB2312">
    <w:panose1 w:val="02010609030101010101"/>
    <w:charset w:val="86"/>
    <w:family w:val="modern"/>
    <w:pitch w:val="default"/>
    <w:sig w:usb0="00000000" w:usb1="00000000" w:usb2="00000000" w:usb3="00000000" w:csb0="00000000" w:csb1="00000000"/>
    <w:embedRegular r:id="rId3" w:fontKey="{426E5A84-9209-4312-9527-9AEF50C64261}"/>
  </w:font>
  <w:font w:name="楷体">
    <w:panose1 w:val="02010609060101010101"/>
    <w:charset w:val="86"/>
    <w:family w:val="modern"/>
    <w:pitch w:val="default"/>
    <w:sig w:usb0="800002BF" w:usb1="38CF7CFA" w:usb2="00000016" w:usb3="00000000" w:csb0="00040001" w:csb1="00000000"/>
    <w:embedRegular r:id="rId4" w:fontKey="{7B706ADF-13A4-428A-A8CA-E641F9F47B5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kM2Y3OTk4YWJkMTlhY2M0M2NiNzUzNWU4NjU4YjYifQ=="/>
    <w:docVar w:name="KSO_WPS_MARK_KEY" w:val="40e95650-004b-4697-ae2b-25bffeeac740"/>
  </w:docVars>
  <w:rsids>
    <w:rsidRoot w:val="00633862"/>
    <w:rsid w:val="000D3AFA"/>
    <w:rsid w:val="00191BA3"/>
    <w:rsid w:val="0022744B"/>
    <w:rsid w:val="005B1250"/>
    <w:rsid w:val="00633862"/>
    <w:rsid w:val="006C5BED"/>
    <w:rsid w:val="00702D4A"/>
    <w:rsid w:val="007115C8"/>
    <w:rsid w:val="00867FFD"/>
    <w:rsid w:val="0097614B"/>
    <w:rsid w:val="00AA5126"/>
    <w:rsid w:val="00AD16CD"/>
    <w:rsid w:val="00CD2F35"/>
    <w:rsid w:val="00DB1085"/>
    <w:rsid w:val="00EA14FA"/>
    <w:rsid w:val="00F84215"/>
    <w:rsid w:val="010E0C0C"/>
    <w:rsid w:val="016D0077"/>
    <w:rsid w:val="02355837"/>
    <w:rsid w:val="023B0973"/>
    <w:rsid w:val="02593338"/>
    <w:rsid w:val="02610413"/>
    <w:rsid w:val="02F163A2"/>
    <w:rsid w:val="02FE786C"/>
    <w:rsid w:val="03341650"/>
    <w:rsid w:val="036F2FCB"/>
    <w:rsid w:val="03B2599D"/>
    <w:rsid w:val="043C5F8E"/>
    <w:rsid w:val="049941F3"/>
    <w:rsid w:val="04A60F90"/>
    <w:rsid w:val="04D2103C"/>
    <w:rsid w:val="04D550AF"/>
    <w:rsid w:val="06B83B39"/>
    <w:rsid w:val="06DE29E2"/>
    <w:rsid w:val="071579E5"/>
    <w:rsid w:val="07702E6D"/>
    <w:rsid w:val="07A86AAB"/>
    <w:rsid w:val="07C65825"/>
    <w:rsid w:val="09067414"/>
    <w:rsid w:val="09170A81"/>
    <w:rsid w:val="0AC27E84"/>
    <w:rsid w:val="0B0F5B25"/>
    <w:rsid w:val="0BD256C9"/>
    <w:rsid w:val="0D3F0613"/>
    <w:rsid w:val="0D617282"/>
    <w:rsid w:val="0F3C5BAF"/>
    <w:rsid w:val="0F661726"/>
    <w:rsid w:val="0F772EC6"/>
    <w:rsid w:val="0F877334"/>
    <w:rsid w:val="10022E90"/>
    <w:rsid w:val="10182B28"/>
    <w:rsid w:val="109160DD"/>
    <w:rsid w:val="10947BCD"/>
    <w:rsid w:val="114B3E5E"/>
    <w:rsid w:val="114D6E2E"/>
    <w:rsid w:val="115E3FEE"/>
    <w:rsid w:val="11636DBB"/>
    <w:rsid w:val="116B384E"/>
    <w:rsid w:val="11CF53EF"/>
    <w:rsid w:val="11DD16C8"/>
    <w:rsid w:val="127A77C1"/>
    <w:rsid w:val="128051E7"/>
    <w:rsid w:val="130742CA"/>
    <w:rsid w:val="130A20A3"/>
    <w:rsid w:val="13352CE1"/>
    <w:rsid w:val="13E07D60"/>
    <w:rsid w:val="150177FB"/>
    <w:rsid w:val="15875F52"/>
    <w:rsid w:val="15B73666"/>
    <w:rsid w:val="15C42D02"/>
    <w:rsid w:val="168A2EA6"/>
    <w:rsid w:val="17D5194F"/>
    <w:rsid w:val="180A4FDB"/>
    <w:rsid w:val="1840056E"/>
    <w:rsid w:val="185917B2"/>
    <w:rsid w:val="192177D8"/>
    <w:rsid w:val="196A001E"/>
    <w:rsid w:val="198331C0"/>
    <w:rsid w:val="19AD1CFF"/>
    <w:rsid w:val="19C92FDD"/>
    <w:rsid w:val="19DB061A"/>
    <w:rsid w:val="19E576EB"/>
    <w:rsid w:val="19FF664E"/>
    <w:rsid w:val="1A091F78"/>
    <w:rsid w:val="1A6D6D72"/>
    <w:rsid w:val="1AEB4D61"/>
    <w:rsid w:val="1C230AC0"/>
    <w:rsid w:val="1C615CEF"/>
    <w:rsid w:val="1CDA72AF"/>
    <w:rsid w:val="1D5E550B"/>
    <w:rsid w:val="1D632B53"/>
    <w:rsid w:val="1D7602A9"/>
    <w:rsid w:val="1DC83D3D"/>
    <w:rsid w:val="1E031549"/>
    <w:rsid w:val="1E613949"/>
    <w:rsid w:val="1EAE0073"/>
    <w:rsid w:val="1EBE0795"/>
    <w:rsid w:val="1F195A2C"/>
    <w:rsid w:val="205102FB"/>
    <w:rsid w:val="20762FC4"/>
    <w:rsid w:val="212C60E2"/>
    <w:rsid w:val="21DB6E7F"/>
    <w:rsid w:val="21DE15EF"/>
    <w:rsid w:val="23021A8B"/>
    <w:rsid w:val="2320540D"/>
    <w:rsid w:val="23254B60"/>
    <w:rsid w:val="236E0539"/>
    <w:rsid w:val="23E6478B"/>
    <w:rsid w:val="2422471A"/>
    <w:rsid w:val="24A85EE5"/>
    <w:rsid w:val="24DB72C2"/>
    <w:rsid w:val="263962DE"/>
    <w:rsid w:val="276460F3"/>
    <w:rsid w:val="27660FAF"/>
    <w:rsid w:val="277166D1"/>
    <w:rsid w:val="277B4318"/>
    <w:rsid w:val="27B7194D"/>
    <w:rsid w:val="27E37B45"/>
    <w:rsid w:val="280600C8"/>
    <w:rsid w:val="28081174"/>
    <w:rsid w:val="28481571"/>
    <w:rsid w:val="286703A2"/>
    <w:rsid w:val="28722F64"/>
    <w:rsid w:val="289B5D70"/>
    <w:rsid w:val="28BF4B61"/>
    <w:rsid w:val="290A1EBC"/>
    <w:rsid w:val="29534642"/>
    <w:rsid w:val="2957311E"/>
    <w:rsid w:val="29576597"/>
    <w:rsid w:val="296B40D0"/>
    <w:rsid w:val="29980ADF"/>
    <w:rsid w:val="29B460DC"/>
    <w:rsid w:val="29CE27E8"/>
    <w:rsid w:val="29D532D8"/>
    <w:rsid w:val="29E74DB9"/>
    <w:rsid w:val="2A0B6FEB"/>
    <w:rsid w:val="2A2A3694"/>
    <w:rsid w:val="2A6B1740"/>
    <w:rsid w:val="2AB71864"/>
    <w:rsid w:val="2AD30362"/>
    <w:rsid w:val="2B161A0E"/>
    <w:rsid w:val="2B1D67DB"/>
    <w:rsid w:val="2B223C3D"/>
    <w:rsid w:val="2B2D4A4E"/>
    <w:rsid w:val="2BCA3DF7"/>
    <w:rsid w:val="2BFA5278"/>
    <w:rsid w:val="2C3F44FD"/>
    <w:rsid w:val="2C566162"/>
    <w:rsid w:val="2C8903AA"/>
    <w:rsid w:val="2CD01740"/>
    <w:rsid w:val="2CE43832"/>
    <w:rsid w:val="2DAA6B58"/>
    <w:rsid w:val="2DB034FA"/>
    <w:rsid w:val="2E4A4A48"/>
    <w:rsid w:val="2F4D48F7"/>
    <w:rsid w:val="2F8715FA"/>
    <w:rsid w:val="2FB43990"/>
    <w:rsid w:val="2FC040E2"/>
    <w:rsid w:val="30143D58"/>
    <w:rsid w:val="30240D0F"/>
    <w:rsid w:val="302604D7"/>
    <w:rsid w:val="308158E7"/>
    <w:rsid w:val="309817B5"/>
    <w:rsid w:val="30A86679"/>
    <w:rsid w:val="31505F30"/>
    <w:rsid w:val="3177520D"/>
    <w:rsid w:val="31C7249B"/>
    <w:rsid w:val="31FB7654"/>
    <w:rsid w:val="32565D7D"/>
    <w:rsid w:val="336E47B8"/>
    <w:rsid w:val="337D2302"/>
    <w:rsid w:val="33916D0A"/>
    <w:rsid w:val="33935522"/>
    <w:rsid w:val="33DE0EF4"/>
    <w:rsid w:val="33FC70C5"/>
    <w:rsid w:val="3416678C"/>
    <w:rsid w:val="34486A39"/>
    <w:rsid w:val="34A70EB2"/>
    <w:rsid w:val="34C13400"/>
    <w:rsid w:val="34F32864"/>
    <w:rsid w:val="35386E11"/>
    <w:rsid w:val="35612ABD"/>
    <w:rsid w:val="3672402B"/>
    <w:rsid w:val="375B2943"/>
    <w:rsid w:val="37D379E5"/>
    <w:rsid w:val="38086A4E"/>
    <w:rsid w:val="38C32119"/>
    <w:rsid w:val="38EE054F"/>
    <w:rsid w:val="39440A0C"/>
    <w:rsid w:val="398443D3"/>
    <w:rsid w:val="398C3287"/>
    <w:rsid w:val="39A60AF6"/>
    <w:rsid w:val="3A713392"/>
    <w:rsid w:val="3AA12D62"/>
    <w:rsid w:val="3B2319C9"/>
    <w:rsid w:val="3B5D5890"/>
    <w:rsid w:val="3BA6683D"/>
    <w:rsid w:val="3BC431AC"/>
    <w:rsid w:val="3C012639"/>
    <w:rsid w:val="3DA52B6A"/>
    <w:rsid w:val="3E833FCF"/>
    <w:rsid w:val="3EE3321B"/>
    <w:rsid w:val="3EE93EED"/>
    <w:rsid w:val="3F177A97"/>
    <w:rsid w:val="3FF57BF1"/>
    <w:rsid w:val="41590DEA"/>
    <w:rsid w:val="416C231C"/>
    <w:rsid w:val="41C31810"/>
    <w:rsid w:val="41D659E7"/>
    <w:rsid w:val="428A15BF"/>
    <w:rsid w:val="42BB7663"/>
    <w:rsid w:val="432A3936"/>
    <w:rsid w:val="434765EB"/>
    <w:rsid w:val="43A3164E"/>
    <w:rsid w:val="43C43532"/>
    <w:rsid w:val="43F77637"/>
    <w:rsid w:val="44332E1A"/>
    <w:rsid w:val="44692B43"/>
    <w:rsid w:val="44B86A6C"/>
    <w:rsid w:val="44BF2CE3"/>
    <w:rsid w:val="44BF6C07"/>
    <w:rsid w:val="462C7B1B"/>
    <w:rsid w:val="46BF2EEE"/>
    <w:rsid w:val="47013FF5"/>
    <w:rsid w:val="474F3CA4"/>
    <w:rsid w:val="484A2C8B"/>
    <w:rsid w:val="48500FEB"/>
    <w:rsid w:val="49284D7B"/>
    <w:rsid w:val="49487285"/>
    <w:rsid w:val="49543DC1"/>
    <w:rsid w:val="4A0F39E7"/>
    <w:rsid w:val="4A703A22"/>
    <w:rsid w:val="4A8A7252"/>
    <w:rsid w:val="4B364032"/>
    <w:rsid w:val="4B3B68BB"/>
    <w:rsid w:val="4B443785"/>
    <w:rsid w:val="4B537C75"/>
    <w:rsid w:val="4BE53646"/>
    <w:rsid w:val="4C431ECB"/>
    <w:rsid w:val="4C432120"/>
    <w:rsid w:val="4CC33C9F"/>
    <w:rsid w:val="4E760D0B"/>
    <w:rsid w:val="4E8F65E3"/>
    <w:rsid w:val="4EC80245"/>
    <w:rsid w:val="4ED65AC3"/>
    <w:rsid w:val="4F596A69"/>
    <w:rsid w:val="50063DD3"/>
    <w:rsid w:val="501F346E"/>
    <w:rsid w:val="504133D8"/>
    <w:rsid w:val="505863A4"/>
    <w:rsid w:val="50591CBD"/>
    <w:rsid w:val="50A240F7"/>
    <w:rsid w:val="51971C1E"/>
    <w:rsid w:val="51FF2E33"/>
    <w:rsid w:val="525877BC"/>
    <w:rsid w:val="5272504D"/>
    <w:rsid w:val="52CA50F4"/>
    <w:rsid w:val="543D24BF"/>
    <w:rsid w:val="548754B8"/>
    <w:rsid w:val="54CA318A"/>
    <w:rsid w:val="55517AB0"/>
    <w:rsid w:val="56683C64"/>
    <w:rsid w:val="57192BB8"/>
    <w:rsid w:val="5734671F"/>
    <w:rsid w:val="57423EBA"/>
    <w:rsid w:val="57813298"/>
    <w:rsid w:val="57AE7CE9"/>
    <w:rsid w:val="57BB500C"/>
    <w:rsid w:val="58753EBA"/>
    <w:rsid w:val="58E426FC"/>
    <w:rsid w:val="58F0692F"/>
    <w:rsid w:val="58FC3B2E"/>
    <w:rsid w:val="59063548"/>
    <w:rsid w:val="5A6776CD"/>
    <w:rsid w:val="5ADD1E8F"/>
    <w:rsid w:val="5AE6303A"/>
    <w:rsid w:val="5B155A7C"/>
    <w:rsid w:val="5B442B97"/>
    <w:rsid w:val="5B745BFD"/>
    <w:rsid w:val="5B977B3E"/>
    <w:rsid w:val="5C5B0B6B"/>
    <w:rsid w:val="5CA448E6"/>
    <w:rsid w:val="5CB643E4"/>
    <w:rsid w:val="5D8D11F8"/>
    <w:rsid w:val="5E2D5305"/>
    <w:rsid w:val="5F1D65AC"/>
    <w:rsid w:val="5F230066"/>
    <w:rsid w:val="5F41229A"/>
    <w:rsid w:val="5F814D8D"/>
    <w:rsid w:val="5FA47678"/>
    <w:rsid w:val="5FE455B0"/>
    <w:rsid w:val="5FE77E7A"/>
    <w:rsid w:val="60504E56"/>
    <w:rsid w:val="60535261"/>
    <w:rsid w:val="627A5057"/>
    <w:rsid w:val="62A033DD"/>
    <w:rsid w:val="62B113CD"/>
    <w:rsid w:val="62D376AD"/>
    <w:rsid w:val="63002758"/>
    <w:rsid w:val="63886101"/>
    <w:rsid w:val="63E072F9"/>
    <w:rsid w:val="63E738F2"/>
    <w:rsid w:val="648B2856"/>
    <w:rsid w:val="64AD2180"/>
    <w:rsid w:val="64F46001"/>
    <w:rsid w:val="658E5B0E"/>
    <w:rsid w:val="65D86017"/>
    <w:rsid w:val="65E6594A"/>
    <w:rsid w:val="660E1EAC"/>
    <w:rsid w:val="661600DA"/>
    <w:rsid w:val="66DF5346"/>
    <w:rsid w:val="66E14AAB"/>
    <w:rsid w:val="6736630B"/>
    <w:rsid w:val="67835513"/>
    <w:rsid w:val="67EE0E11"/>
    <w:rsid w:val="68DF3109"/>
    <w:rsid w:val="693F2885"/>
    <w:rsid w:val="699F5DE9"/>
    <w:rsid w:val="6A9776F8"/>
    <w:rsid w:val="6AAF0A00"/>
    <w:rsid w:val="6AEF34F2"/>
    <w:rsid w:val="6B234F4A"/>
    <w:rsid w:val="6C5F0204"/>
    <w:rsid w:val="6C69186D"/>
    <w:rsid w:val="6C7D443F"/>
    <w:rsid w:val="6C8851EE"/>
    <w:rsid w:val="6CCF1622"/>
    <w:rsid w:val="6CE7035E"/>
    <w:rsid w:val="6DB1246A"/>
    <w:rsid w:val="6EAE5472"/>
    <w:rsid w:val="702F5608"/>
    <w:rsid w:val="708F2CC4"/>
    <w:rsid w:val="709444F0"/>
    <w:rsid w:val="70E578B4"/>
    <w:rsid w:val="71182116"/>
    <w:rsid w:val="71205936"/>
    <w:rsid w:val="71477CCB"/>
    <w:rsid w:val="7178018F"/>
    <w:rsid w:val="71BA40BB"/>
    <w:rsid w:val="71CD052F"/>
    <w:rsid w:val="72D70F57"/>
    <w:rsid w:val="73740A39"/>
    <w:rsid w:val="73D43285"/>
    <w:rsid w:val="742B746E"/>
    <w:rsid w:val="74736F42"/>
    <w:rsid w:val="74CA7F29"/>
    <w:rsid w:val="752B1D3E"/>
    <w:rsid w:val="756B106A"/>
    <w:rsid w:val="75913D16"/>
    <w:rsid w:val="763C0048"/>
    <w:rsid w:val="76F972FF"/>
    <w:rsid w:val="77135965"/>
    <w:rsid w:val="77262B54"/>
    <w:rsid w:val="772D4414"/>
    <w:rsid w:val="77372982"/>
    <w:rsid w:val="773A5C43"/>
    <w:rsid w:val="775947BB"/>
    <w:rsid w:val="77AD276B"/>
    <w:rsid w:val="77B87094"/>
    <w:rsid w:val="77C96E08"/>
    <w:rsid w:val="78E27C50"/>
    <w:rsid w:val="79500F4C"/>
    <w:rsid w:val="7986195D"/>
    <w:rsid w:val="79E005EE"/>
    <w:rsid w:val="7A044DC4"/>
    <w:rsid w:val="7A865511"/>
    <w:rsid w:val="7AA20E97"/>
    <w:rsid w:val="7AAA4D40"/>
    <w:rsid w:val="7ABC4A73"/>
    <w:rsid w:val="7AC10876"/>
    <w:rsid w:val="7B2F16E9"/>
    <w:rsid w:val="7B334ED0"/>
    <w:rsid w:val="7C4B6886"/>
    <w:rsid w:val="7C71236F"/>
    <w:rsid w:val="7C7B25BC"/>
    <w:rsid w:val="7C8D2B6B"/>
    <w:rsid w:val="7D360B0D"/>
    <w:rsid w:val="7D55069E"/>
    <w:rsid w:val="7D670C49"/>
    <w:rsid w:val="7D711B45"/>
    <w:rsid w:val="7E5F5E41"/>
    <w:rsid w:val="7E78432D"/>
    <w:rsid w:val="7E8E02D3"/>
    <w:rsid w:val="7EA902C5"/>
    <w:rsid w:val="7EAA3560"/>
    <w:rsid w:val="7ECF553C"/>
    <w:rsid w:val="7EF10E29"/>
    <w:rsid w:val="7FB364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qFormat/>
    <w:uiPriority w:val="0"/>
    <w:pPr>
      <w:keepNext/>
      <w:keepLines/>
      <w:spacing w:line="560" w:lineRule="exact"/>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spacing w:before="240" w:after="60"/>
      <w:jc w:val="center"/>
      <w:outlineLvl w:val="0"/>
    </w:pPr>
    <w:rPr>
      <w:rFonts w:ascii="Arial" w:hAnsi="Arial" w:cs="黑体"/>
      <w:b/>
      <w:sz w:val="32"/>
    </w:rPr>
  </w:style>
  <w:style w:type="paragraph" w:styleId="4">
    <w:name w:val="Body Text"/>
    <w:basedOn w:val="1"/>
    <w:next w:val="5"/>
    <w:unhideWhenUsed/>
    <w:qFormat/>
    <w:uiPriority w:val="99"/>
    <w:pPr>
      <w:ind w:firstLine="880" w:firstLineChars="200"/>
    </w:pPr>
  </w:style>
  <w:style w:type="paragraph" w:styleId="5">
    <w:name w:val="Body Text First Indent"/>
    <w:basedOn w:val="4"/>
    <w:next w:val="1"/>
    <w:qFormat/>
    <w:uiPriority w:val="0"/>
    <w:pPr>
      <w:ind w:firstLine="200"/>
    </w:p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character" w:styleId="11">
    <w:name w:val="Strong"/>
    <w:basedOn w:val="10"/>
    <w:qFormat/>
    <w:uiPriority w:val="0"/>
    <w:rPr>
      <w:b/>
      <w:bCs/>
    </w:rPr>
  </w:style>
  <w:style w:type="character" w:customStyle="1" w:styleId="12">
    <w:name w:val="页眉 Char"/>
    <w:basedOn w:val="10"/>
    <w:link w:val="7"/>
    <w:qFormat/>
    <w:uiPriority w:val="99"/>
    <w:rPr>
      <w:sz w:val="18"/>
      <w:szCs w:val="18"/>
    </w:rPr>
  </w:style>
  <w:style w:type="character" w:customStyle="1" w:styleId="13">
    <w:name w:val="页脚 Char"/>
    <w:basedOn w:val="10"/>
    <w:link w:val="6"/>
    <w:qFormat/>
    <w:uiPriority w:val="99"/>
    <w:rPr>
      <w:sz w:val="18"/>
      <w:szCs w:val="18"/>
    </w:rPr>
  </w:style>
  <w:style w:type="paragraph" w:styleId="1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409</Words>
  <Characters>422</Characters>
  <Lines>9</Lines>
  <Paragraphs>2</Paragraphs>
  <TotalTime>83</TotalTime>
  <ScaleCrop>false</ScaleCrop>
  <LinksUpToDate>false</LinksUpToDate>
  <CharactersWithSpaces>444</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2019-01-16T17:12:00Z</dcterms:created>
  <dc:creator>jc</dc:creator>
  <cp:lastModifiedBy>Administrator</cp:lastModifiedBy>
  <cp:lastPrinted>2024-04-29T10:20:00Z</cp:lastPrinted>
  <dcterms:modified xsi:type="dcterms:W3CDTF">2024-08-14T10:12:30Z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7B718A08F4AD449EB4F3ABBB2F254500_13</vt:lpwstr>
  </property>
</Properties>
</file>