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eastAsia="zh-CN"/>
        </w:rPr>
      </w:pPr>
      <w:r>
        <w:rPr>
          <w:rFonts w:hint="eastAsia" w:ascii="方正小标宋_GBK" w:hAnsi="宋体" w:eastAsia="方正小标宋_GBK"/>
          <w:color w:val="auto"/>
          <w:sz w:val="44"/>
          <w:szCs w:val="44"/>
          <w:highlight w:val="none"/>
          <w:lang w:val="en-US" w:eastAsia="zh-CN"/>
        </w:rPr>
        <w:t>库尔勒市天山街道办事处</w:t>
      </w:r>
      <w:r>
        <w:rPr>
          <w:rFonts w:hint="eastAsia" w:ascii="方正小标宋_GBK" w:hAnsi="宋体" w:eastAsia="方正小标宋_GBK"/>
          <w:color w:val="auto"/>
          <w:sz w:val="44"/>
          <w:szCs w:val="44"/>
          <w:highlight w:val="none"/>
          <w:lang w:eastAsia="zh-CN"/>
        </w:rPr>
        <w:t xml:space="preserve"> 2023年度</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部门决算公开说明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val="en-US"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val="en-US"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bookmarkStart w:id="4" w:name="_Toc31238"/>
      <w:bookmarkStart w:id="5" w:name="_Toc2151"/>
      <w:r>
        <w:rPr>
          <w:rFonts w:hint="eastAsia" w:ascii="仿宋_GB2312" w:eastAsia="仿宋_GB2312"/>
          <w:color w:val="auto"/>
          <w:spacing w:val="0"/>
          <w:sz w:val="32"/>
          <w:szCs w:val="32"/>
          <w:highlight w:val="none"/>
          <w:lang w:val="en-US" w:eastAsia="zh-CN"/>
        </w:rPr>
        <w:t xml:space="preserve">1、贯彻执行党和国家的各项方针、政策、法令、法规上级人民政府关于街道工作方面的决定，制定具体的管理办法并组织实施。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 xml:space="preserve">2、负责辖区内的社会管理综合治理，人民调解、法律服务工作，依照有关规定管理外来流动人员。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 xml:space="preserve">3、开展社区服务、拥军优属工作，负责社区优抚、社会救济、社会福利工作，做好社区文化、科普、体育、教育工作。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 xml:space="preserve">4、按照职责范围做好计划生育、爱国卫生、绿化、环境保护、劳动就业、安全生产等管理工作。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5、配合有关部门做好防汛、防风、防火、防震、抢险和防灾救灾工作。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6、会同有关部门做好本辖区综治、维稳等工作；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7、负责辖区内市容市貌和环境卫生的日常管理工作，发动辖区单位和群众保护环境，开展爱国卫生运动；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8、指导和帮助居民委员会的工作，调解解决行政事务、社会管理和公共服务方面的问题，促进居民委员会的依法建设。</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9、协助武装部门做好国防动员、民兵训练和公民服兵役工作；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10、维护老年人、妇女、青少年、儿童和残疾人的合法权益。</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 xml:space="preserve">11、动员和领导居民及各单位、各部门开展社区建设工作；制定并实施社区建设规划和年度计划；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 xml:space="preserve">12、向市党委、市政府反映居民群众的意见和要求，办理人民群众的来信来访等事项。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13、承办市党委、市政府交办的其他事项。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z w:val="32"/>
          <w:szCs w:val="32"/>
          <w:highlight w:val="none"/>
          <w:lang w:val="en-US" w:eastAsia="zh-CN"/>
        </w:rPr>
        <w:t>库尔</w:t>
      </w:r>
      <w:r>
        <w:rPr>
          <w:rFonts w:hint="eastAsia" w:ascii="仿宋_GB2312" w:eastAsia="仿宋_GB2312"/>
          <w:color w:val="auto"/>
          <w:spacing w:val="0"/>
          <w:sz w:val="32"/>
          <w:szCs w:val="32"/>
          <w:highlight w:val="none"/>
          <w:lang w:val="en-US" w:eastAsia="zh-CN"/>
        </w:rPr>
        <w:t>勒市天山街道办事处2023年度，实有人数</w:t>
      </w:r>
      <w:r>
        <w:rPr>
          <w:rFonts w:hint="eastAsia" w:ascii="仿宋_GB2312" w:eastAsia="仿宋_GB2312"/>
          <w:color w:val="auto"/>
          <w:spacing w:val="0"/>
          <w:sz w:val="32"/>
          <w:szCs w:val="32"/>
          <w:highlight w:val="none"/>
          <w:lang w:val="zh-CN" w:eastAsia="zh-CN"/>
        </w:rPr>
        <w:t>106</w:t>
      </w:r>
      <w:r>
        <w:rPr>
          <w:rFonts w:hint="eastAsia" w:ascii="仿宋_GB2312" w:eastAsia="仿宋_GB2312"/>
          <w:color w:val="auto"/>
          <w:spacing w:val="0"/>
          <w:sz w:val="32"/>
          <w:szCs w:val="32"/>
          <w:highlight w:val="none"/>
          <w:lang w:val="en-US" w:eastAsia="zh-CN"/>
        </w:rPr>
        <w:t>人，其中：在职人员</w:t>
      </w:r>
      <w:r>
        <w:rPr>
          <w:rFonts w:hint="eastAsia" w:ascii="仿宋_GB2312" w:eastAsia="仿宋_GB2312"/>
          <w:color w:val="auto"/>
          <w:spacing w:val="0"/>
          <w:sz w:val="32"/>
          <w:szCs w:val="32"/>
          <w:highlight w:val="none"/>
          <w:lang w:val="zh-CN" w:eastAsia="zh-CN"/>
        </w:rPr>
        <w:t>81</w:t>
      </w:r>
      <w:r>
        <w:rPr>
          <w:rFonts w:hint="eastAsia" w:ascii="仿宋_GB2312" w:eastAsia="仿宋_GB2312"/>
          <w:color w:val="auto"/>
          <w:spacing w:val="0"/>
          <w:sz w:val="32"/>
          <w:szCs w:val="32"/>
          <w:highlight w:val="none"/>
          <w:lang w:val="en-US" w:eastAsia="zh-CN"/>
        </w:rPr>
        <w:t>人，离休人员</w:t>
      </w:r>
      <w:r>
        <w:rPr>
          <w:rFonts w:hint="eastAsia" w:ascii="仿宋_GB2312" w:eastAsia="仿宋_GB2312"/>
          <w:color w:val="auto"/>
          <w:spacing w:val="0"/>
          <w:sz w:val="32"/>
          <w:szCs w:val="32"/>
          <w:highlight w:val="none"/>
          <w:lang w:val="zh-CN" w:eastAsia="zh-CN"/>
        </w:rPr>
        <w:t>0</w:t>
      </w:r>
      <w:r>
        <w:rPr>
          <w:rFonts w:hint="eastAsia" w:ascii="仿宋_GB2312" w:eastAsia="仿宋_GB2312"/>
          <w:color w:val="auto"/>
          <w:spacing w:val="0"/>
          <w:sz w:val="32"/>
          <w:szCs w:val="32"/>
          <w:highlight w:val="none"/>
          <w:lang w:val="en-US" w:eastAsia="zh-CN"/>
        </w:rPr>
        <w:t>人，退休人员</w:t>
      </w:r>
      <w:r>
        <w:rPr>
          <w:rFonts w:hint="eastAsia" w:ascii="仿宋_GB2312" w:eastAsia="仿宋_GB2312"/>
          <w:color w:val="auto"/>
          <w:spacing w:val="0"/>
          <w:sz w:val="32"/>
          <w:szCs w:val="32"/>
          <w:highlight w:val="none"/>
          <w:lang w:val="zh-CN" w:eastAsia="zh-CN"/>
        </w:rPr>
        <w:t>25</w:t>
      </w:r>
      <w:r>
        <w:rPr>
          <w:rFonts w:hint="eastAsia" w:ascii="仿宋_GB2312" w:eastAsia="仿宋_GB2312"/>
          <w:color w:val="auto"/>
          <w:spacing w:val="0"/>
          <w:sz w:val="32"/>
          <w:szCs w:val="32"/>
          <w:highlight w:val="none"/>
          <w:lang w:val="en-US" w:eastAsia="zh-CN"/>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单位无下属预算单位，下设6个处室，分别是：党建办、综合协调办、行政执法办、综治中心、社会事务服务中心、统战民宗中心。</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2,429.20万元，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2,429.20万元，使用非财政拨款结余0.00万元，年初结转和结余0.00万元。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2,429.20万元，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2,429.20万元，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增加123.31万元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增长5.35%</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支付双拥社区体育彩票工程项目欠款,且此项工程款全部结清</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本年收入</w:t>
      </w:r>
      <w:r>
        <w:rPr>
          <w:rFonts w:hint="default" w:ascii="Times New Roman" w:hAnsi="Times New Roman" w:eastAsia="仿宋_GB2312" w:cs="Times New Roman"/>
          <w:color w:val="auto"/>
          <w:sz w:val="32"/>
          <w:szCs w:val="32"/>
          <w:highlight w:val="none"/>
          <w:lang w:eastAsia="zh-CN"/>
        </w:rPr>
        <w:t>2,429.20</w:t>
      </w:r>
      <w:r>
        <w:rPr>
          <w:rFonts w:hint="default" w:ascii="Times New Roman" w:hAnsi="Times New Roman" w:eastAsia="仿宋_GB2312" w:cs="Times New Roman"/>
          <w:color w:val="auto"/>
          <w:sz w:val="32"/>
          <w:szCs w:val="32"/>
          <w:highlight w:val="none"/>
        </w:rPr>
        <w:t>万元，其中：财政拨款收入</w:t>
      </w:r>
      <w:r>
        <w:rPr>
          <w:rFonts w:hint="default" w:ascii="Times New Roman" w:hAnsi="Times New Roman" w:eastAsia="仿宋_GB2312" w:cs="Times New Roman"/>
          <w:color w:val="auto"/>
          <w:sz w:val="32"/>
          <w:szCs w:val="32"/>
          <w:highlight w:val="none"/>
          <w:lang w:val="zh-CN"/>
        </w:rPr>
        <w:t>2,429.20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100.00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；上级补助收入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；事业收入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；经营收入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附属单位上缴收入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；其他收入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本年支出2,429.20万元，其中：基本支出2,153.99万元，占88.67%；项目支出275.20万元，占11.33%；上缴上级支出0.00万元，占0.00%；经营支出0.00万元，占0.00%；对附属单位补助支出0.00万元，占0.00%。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2,429.20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2,429.20</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2,429.20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2,429.20</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增加138.31万元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增长6.04%，</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支付双拥社区体育彩票工程项目欠款</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2,052.31</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2,429.20</w:t>
      </w:r>
      <w:r>
        <w:rPr>
          <w:rFonts w:hint="eastAsia" w:ascii="仿宋_GB2312" w:eastAsia="仿宋_GB2312"/>
          <w:color w:val="auto"/>
          <w:spacing w:val="0"/>
          <w:sz w:val="32"/>
          <w:szCs w:val="32"/>
          <w:highlight w:val="none"/>
          <w:lang w:eastAsia="zh-CN"/>
        </w:rPr>
        <w:t>万元，预决算差异率18.36%，主要原因是：</w:t>
      </w:r>
      <w:r>
        <w:rPr>
          <w:rFonts w:hint="eastAsia" w:ascii="仿宋_GB2312" w:eastAsia="仿宋_GB2312"/>
          <w:color w:val="auto"/>
          <w:spacing w:val="0"/>
          <w:sz w:val="32"/>
          <w:szCs w:val="32"/>
          <w:highlight w:val="none"/>
          <w:lang w:val="en-US" w:eastAsia="zh-CN"/>
        </w:rPr>
        <w:t>支付双拥社区体育彩票工程项目欠款。</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eastAsia" w:ascii="仿宋_GB2312" w:hAnsi="Times New Roman" w:eastAsia="仿宋_GB2312" w:cs="Times New Roman"/>
          <w:color w:val="auto"/>
          <w:spacing w:val="0"/>
          <w:kern w:val="2"/>
          <w:sz w:val="32"/>
          <w:szCs w:val="32"/>
          <w:highlight w:val="none"/>
          <w:lang w:val="zh-CN" w:eastAsia="zh-CN" w:bidi="ar-SA"/>
        </w:rPr>
        <w:t>2023年度一般公共预算财政拨款支出2,248.60万元，占本年支出合计的92.57%。与上年相比，减少13.31万元，下降0.59%，主要原因是：</w:t>
      </w:r>
      <w:r>
        <w:rPr>
          <w:rFonts w:hint="eastAsia" w:ascii="仿宋_GB2312" w:eastAsia="仿宋_GB2312" w:cs="Times New Roman"/>
          <w:color w:val="auto"/>
          <w:spacing w:val="0"/>
          <w:kern w:val="2"/>
          <w:sz w:val="32"/>
          <w:szCs w:val="32"/>
          <w:highlight w:val="none"/>
          <w:lang w:val="en-US" w:eastAsia="zh-CN" w:bidi="ar-SA"/>
        </w:rPr>
        <w:t>1.</w:t>
      </w:r>
      <w:r>
        <w:rPr>
          <w:rFonts w:hint="eastAsia" w:ascii="仿宋_GB2312" w:hAnsi="Times New Roman" w:eastAsia="仿宋_GB2312" w:cs="Times New Roman"/>
          <w:color w:val="auto"/>
          <w:spacing w:val="0"/>
          <w:kern w:val="2"/>
          <w:sz w:val="32"/>
          <w:szCs w:val="32"/>
          <w:highlight w:val="none"/>
          <w:lang w:val="en-US" w:eastAsia="zh-CN" w:bidi="ar-SA"/>
        </w:rPr>
        <w:t>严格执行中央八项规定，厉行节约，压缩各项经费支出</w:t>
      </w:r>
      <w:r>
        <w:rPr>
          <w:rFonts w:hint="eastAsia"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en-US" w:eastAsia="zh-CN" w:bidi="ar-SA"/>
        </w:rPr>
        <w:t>2.</w:t>
      </w:r>
      <w:r>
        <w:rPr>
          <w:rFonts w:hint="eastAsia" w:ascii="仿宋_GB2312" w:hAnsi="Times New Roman" w:eastAsia="仿宋_GB2312" w:cs="Times New Roman"/>
          <w:color w:val="auto"/>
          <w:spacing w:val="0"/>
          <w:kern w:val="2"/>
          <w:sz w:val="32"/>
          <w:szCs w:val="32"/>
          <w:highlight w:val="none"/>
          <w:lang w:val="en-US" w:eastAsia="zh-CN" w:bidi="ar-SA"/>
        </w:rPr>
        <w:t>在职人员辞职</w:t>
      </w:r>
      <w:r>
        <w:rPr>
          <w:rFonts w:hint="eastAsia" w:ascii="仿宋_GB2312" w:eastAsia="仿宋_GB2312" w:cs="Times New Roman"/>
          <w:color w:val="auto"/>
          <w:spacing w:val="0"/>
          <w:kern w:val="2"/>
          <w:sz w:val="32"/>
          <w:szCs w:val="32"/>
          <w:highlight w:val="none"/>
          <w:lang w:val="en-US" w:eastAsia="zh-CN" w:bidi="ar-SA"/>
        </w:rPr>
        <w:t>、退休</w:t>
      </w:r>
      <w:r>
        <w:rPr>
          <w:rFonts w:hint="eastAsia" w:ascii="仿宋_GB2312" w:hAnsi="Times New Roman" w:eastAsia="仿宋_GB2312" w:cs="Times New Roman"/>
          <w:color w:val="auto"/>
          <w:spacing w:val="0"/>
          <w:kern w:val="2"/>
          <w:sz w:val="32"/>
          <w:szCs w:val="32"/>
          <w:highlight w:val="none"/>
          <w:lang w:val="en-US" w:eastAsia="zh-CN" w:bidi="ar-SA"/>
        </w:rPr>
        <w:t>导致</w:t>
      </w:r>
      <w:r>
        <w:rPr>
          <w:rFonts w:hint="eastAsia" w:ascii="仿宋_GB2312" w:eastAsia="仿宋_GB2312" w:cs="Times New Roman"/>
          <w:color w:val="auto"/>
          <w:spacing w:val="0"/>
          <w:kern w:val="2"/>
          <w:sz w:val="32"/>
          <w:szCs w:val="32"/>
          <w:highlight w:val="none"/>
          <w:lang w:val="en-US" w:eastAsia="zh-CN" w:bidi="ar-SA"/>
        </w:rPr>
        <w:t>相关</w:t>
      </w:r>
      <w:r>
        <w:rPr>
          <w:rFonts w:hint="eastAsia" w:ascii="仿宋_GB2312" w:hAnsi="Times New Roman" w:eastAsia="仿宋_GB2312" w:cs="Times New Roman"/>
          <w:color w:val="auto"/>
          <w:spacing w:val="0"/>
          <w:kern w:val="2"/>
          <w:sz w:val="32"/>
          <w:szCs w:val="32"/>
          <w:highlight w:val="none"/>
          <w:lang w:val="en-US" w:eastAsia="zh-CN" w:bidi="ar-SA"/>
        </w:rPr>
        <w:t>支出减少。</w:t>
      </w:r>
      <w:r>
        <w:rPr>
          <w:rFonts w:hint="eastAsia" w:ascii="仿宋_GB2312" w:hAnsi="Times New Roman" w:eastAsia="仿宋_GB2312" w:cs="Times New Roman"/>
          <w:color w:val="auto"/>
          <w:spacing w:val="0"/>
          <w:kern w:val="2"/>
          <w:sz w:val="32"/>
          <w:szCs w:val="32"/>
          <w:highlight w:val="none"/>
          <w:lang w:val="zh-CN" w:eastAsia="zh-CN" w:bidi="ar-SA"/>
        </w:rPr>
        <w:t>与年初预算相比，年初预算数1,912.69万元，决算数2,248.60万元，预决算差异率17.56%，主要原因是：</w:t>
      </w:r>
      <w:r>
        <w:rPr>
          <w:rFonts w:hint="eastAsia" w:ascii="仿宋_GB2312" w:eastAsia="仿宋_GB2312" w:cs="Times New Roman"/>
          <w:color w:val="auto"/>
          <w:spacing w:val="0"/>
          <w:kern w:val="2"/>
          <w:sz w:val="32"/>
          <w:szCs w:val="32"/>
          <w:highlight w:val="none"/>
          <w:lang w:val="en-US" w:eastAsia="zh-CN" w:bidi="ar-SA"/>
        </w:rPr>
        <w:t>1.本年度发放2020年下半年绩效;2.发放2021年及2022年优秀考核奖;3.实行社区三岗十八级，工资调整，在职人员调资及社保基数上调。</w:t>
      </w:r>
      <w:r>
        <w:rPr>
          <w:rFonts w:hint="eastAsia" w:ascii="仿宋_GB2312" w:eastAsia="仿宋_GB2312" w:cs="Times New Roman"/>
          <w:color w:val="auto"/>
          <w:spacing w:val="0"/>
          <w:kern w:val="2"/>
          <w:sz w:val="32"/>
          <w:szCs w:val="32"/>
          <w:highlight w:val="none"/>
          <w:lang w:val="en-US" w:eastAsia="zh-CN" w:bidi="ar-SA"/>
        </w:rPr>
        <w:tab/>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1,727.13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76.81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5.95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0.26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.文化旅游体育与传媒支出（类）</w:t>
      </w:r>
      <w:r>
        <w:rPr>
          <w:rFonts w:hint="eastAsia" w:ascii="仿宋_GB2312" w:hAnsi="Times New Roman" w:eastAsia="仿宋_GB2312" w:cs="Times New Roman"/>
          <w:color w:val="auto"/>
          <w:spacing w:val="0"/>
          <w:kern w:val="2"/>
          <w:sz w:val="32"/>
          <w:szCs w:val="32"/>
          <w:highlight w:val="none"/>
          <w:lang w:val="zh-CN" w:eastAsia="zh-CN" w:bidi="ar-SA"/>
        </w:rPr>
        <w:t>35.00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1.56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330.60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14.70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5</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58.60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2.61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6</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91.33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4.06</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1.一般公共服务支出（类）政府办公厅（室）及相关机构事务（款）行政运行（项）:支出决算数为1,548.05万元，比上年决算增加152.76万元，增长10.95%，主要原因是：本年度下半年新增8名在编人员，并且补发了在职在编及临聘人员2020年下半年考核绩效奖108.24万元，相关支出增加</w:t>
      </w:r>
      <w:r>
        <w:rPr>
          <w:rFonts w:hint="eastAsia"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eastAsia" w:ascii="仿宋_GB2312" w:hAnsi="Times New Roman" w:eastAsia="仿宋_GB2312" w:cs="Times New Roman"/>
          <w:color w:val="auto"/>
          <w:spacing w:val="0"/>
          <w:kern w:val="2"/>
          <w:sz w:val="32"/>
          <w:szCs w:val="32"/>
          <w:highlight w:val="none"/>
          <w:lang w:val="en-US" w:eastAsia="zh-CN" w:bidi="ar-SA"/>
        </w:rPr>
        <w:t>.一般公共服务支出（类）统战事务（款）其他统战事务支出（项）:支出决算数为2.89万元，比上年决算增加2.89万元，增长100%，主要原因是：上年度未安排此项预算，本年度新增了此项预算，相关支出增加。</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en-US" w:eastAsia="zh-CN" w:bidi="ar-SA"/>
        </w:rPr>
        <w:t>.</w:t>
      </w:r>
      <w:r>
        <w:rPr>
          <w:rFonts w:hint="eastAsia" w:ascii="仿宋_GB2312" w:hAnsi="Times New Roman" w:eastAsia="仿宋_GB2312" w:cs="Times New Roman"/>
          <w:color w:val="auto"/>
          <w:spacing w:val="0"/>
          <w:kern w:val="2"/>
          <w:sz w:val="32"/>
          <w:szCs w:val="32"/>
          <w:highlight w:val="none"/>
          <w:lang w:val="en-US" w:eastAsia="zh-CN" w:bidi="ar-SA"/>
        </w:rPr>
        <w:t>一般公共服务支出（类）政府办公厅（室）及相关机构事务（款）其他政府办公厅（室）及相关机构事务支出（项）:支出决算数为57.80万元，比上年决算减少61.28万元，下降51.46%，主要原因是：</w:t>
      </w:r>
      <w:r>
        <w:rPr>
          <w:rFonts w:hint="eastAsia" w:ascii="仿宋_GB2312" w:eastAsia="仿宋_GB2312" w:cs="Times New Roman"/>
          <w:color w:val="auto"/>
          <w:spacing w:val="0"/>
          <w:kern w:val="2"/>
          <w:sz w:val="32"/>
          <w:szCs w:val="32"/>
          <w:highlight w:val="none"/>
          <w:lang w:val="en-US" w:eastAsia="zh-CN" w:bidi="ar-SA"/>
        </w:rPr>
        <w:t>上年度支付食堂经费，本年度无食堂经费，并</w:t>
      </w:r>
      <w:r>
        <w:rPr>
          <w:rFonts w:hint="eastAsia" w:ascii="仿宋_GB2312" w:hAnsi="Times New Roman" w:eastAsia="仿宋_GB2312" w:cs="Times New Roman"/>
          <w:color w:val="auto"/>
          <w:spacing w:val="0"/>
          <w:kern w:val="2"/>
          <w:sz w:val="32"/>
          <w:szCs w:val="32"/>
          <w:highlight w:val="none"/>
          <w:lang w:val="zh-CN" w:eastAsia="zh-CN" w:bidi="ar-SA"/>
        </w:rPr>
        <w:t>严格执行中央八项规定，厉行节约，压缩各项经费支出。</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en-US"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eastAsia" w:ascii="仿宋_GB2312" w:hAnsi="Times New Roman" w:eastAsia="仿宋_GB2312" w:cs="Times New Roman"/>
          <w:color w:val="auto"/>
          <w:spacing w:val="0"/>
          <w:kern w:val="2"/>
          <w:sz w:val="32"/>
          <w:szCs w:val="32"/>
          <w:highlight w:val="none"/>
          <w:lang w:val="en-US" w:eastAsia="zh-CN" w:bidi="ar-SA"/>
        </w:rPr>
        <w:t>.一般公共服务支出（类）统战事务（款）宗教事务（项）:支出决算数为1.00万元，比上年决算增加1.00万元，增长100%，主要原因是：上年度无此项预算，本年度增加此项预算，相关支出增加。</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5</w:t>
      </w:r>
      <w:r>
        <w:rPr>
          <w:rFonts w:hint="eastAsia" w:ascii="仿宋_GB2312" w:hAnsi="Times New Roman" w:eastAsia="仿宋_GB2312" w:cs="Times New Roman"/>
          <w:color w:val="auto"/>
          <w:spacing w:val="0"/>
          <w:kern w:val="2"/>
          <w:sz w:val="32"/>
          <w:szCs w:val="32"/>
          <w:highlight w:val="none"/>
          <w:lang w:val="en-US" w:eastAsia="zh-CN" w:bidi="ar-SA"/>
        </w:rPr>
        <w:t>.一般公共服务支出（类）组织事务（款）其他组织事务支出（项）:支出决算数为115.89万元，比上年决算减少108.68万元，下降48.39%，主要原因是：上年度此项列支包括我单位其他财政供养人员年度工资、访惠聚工作队人员补贴、疫情期间食堂经费及相关经费支出。本年度此项列支仅为访惠聚工作队人员补贴，相关支出减少</w:t>
      </w:r>
      <w:r>
        <w:rPr>
          <w:rFonts w:hint="eastAsia"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6</w:t>
      </w:r>
      <w:r>
        <w:rPr>
          <w:rFonts w:hint="eastAsia" w:ascii="仿宋_GB2312" w:hAnsi="Times New Roman" w:eastAsia="仿宋_GB2312" w:cs="Times New Roman"/>
          <w:color w:val="auto"/>
          <w:spacing w:val="0"/>
          <w:kern w:val="2"/>
          <w:sz w:val="32"/>
          <w:szCs w:val="32"/>
          <w:highlight w:val="none"/>
          <w:lang w:val="en-US" w:eastAsia="zh-CN" w:bidi="ar-SA"/>
        </w:rPr>
        <w:t>.一般公共服务支出（类）纪检监察事务（款）其他纪检监察事务支出（项）:支出决算数为1.50万元，比上年决算增加0.51万元，增长</w:t>
      </w:r>
      <w:r>
        <w:rPr>
          <w:rFonts w:hint="eastAsia" w:ascii="仿宋_GB2312" w:eastAsia="仿宋_GB2312" w:cs="Times New Roman"/>
          <w:color w:val="auto"/>
          <w:spacing w:val="0"/>
          <w:kern w:val="2"/>
          <w:sz w:val="32"/>
          <w:szCs w:val="32"/>
          <w:highlight w:val="none"/>
          <w:lang w:val="en-US" w:eastAsia="zh-CN" w:bidi="ar-SA"/>
        </w:rPr>
        <w:t>51.52</w:t>
      </w:r>
      <w:r>
        <w:rPr>
          <w:rFonts w:hint="eastAsia" w:ascii="仿宋_GB2312" w:hAnsi="Times New Roman" w:eastAsia="仿宋_GB2312" w:cs="Times New Roman"/>
          <w:color w:val="auto"/>
          <w:spacing w:val="0"/>
          <w:kern w:val="2"/>
          <w:sz w:val="32"/>
          <w:szCs w:val="32"/>
          <w:highlight w:val="none"/>
          <w:lang w:val="en-US" w:eastAsia="zh-CN" w:bidi="ar-SA"/>
        </w:rPr>
        <w:t>%，主要原因是：上年度此项预算1.00万元，本年度预算增加至1.50万元，相关支出增加</w:t>
      </w:r>
      <w:r>
        <w:rPr>
          <w:rFonts w:hint="eastAsia"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7</w:t>
      </w:r>
      <w:r>
        <w:rPr>
          <w:rFonts w:hint="eastAsia" w:ascii="Times New Roman" w:hAnsi="Times New Roman" w:eastAsia="仿宋_GB2312" w:cs="Times New Roman"/>
          <w:color w:val="auto"/>
          <w:kern w:val="2"/>
          <w:sz w:val="32"/>
          <w:szCs w:val="32"/>
          <w:highlight w:val="none"/>
          <w:lang w:val="en-US" w:eastAsia="zh-CN" w:bidi="ar-SA"/>
        </w:rPr>
        <w:t>.</w:t>
      </w:r>
      <w:r>
        <w:rPr>
          <w:rFonts w:hint="eastAsia" w:ascii="仿宋_GB2312" w:hAnsi="Times New Roman" w:eastAsia="仿宋_GB2312" w:cs="Times New Roman"/>
          <w:color w:val="auto"/>
          <w:spacing w:val="0"/>
          <w:kern w:val="2"/>
          <w:sz w:val="32"/>
          <w:szCs w:val="32"/>
          <w:highlight w:val="none"/>
          <w:lang w:val="en-US" w:eastAsia="zh-CN" w:bidi="ar-SA"/>
        </w:rPr>
        <w:t>教育支出（类）进修</w:t>
      </w:r>
      <w:r>
        <w:rPr>
          <w:rFonts w:hint="eastAsia" w:ascii="Times New Roman" w:hAnsi="Times New Roman" w:eastAsia="仿宋_GB2312" w:cs="Times New Roman"/>
          <w:color w:val="auto"/>
          <w:kern w:val="2"/>
          <w:sz w:val="32"/>
          <w:szCs w:val="32"/>
          <w:highlight w:val="none"/>
          <w:lang w:val="en-US" w:eastAsia="zh-CN" w:bidi="ar-SA"/>
        </w:rPr>
        <w:t>及</w:t>
      </w:r>
      <w:r>
        <w:rPr>
          <w:rFonts w:hint="eastAsia" w:ascii="仿宋_GB2312" w:hAnsi="Times New Roman" w:eastAsia="仿宋_GB2312" w:cs="Times New Roman"/>
          <w:color w:val="auto"/>
          <w:spacing w:val="0"/>
          <w:kern w:val="2"/>
          <w:sz w:val="32"/>
          <w:szCs w:val="32"/>
          <w:highlight w:val="none"/>
          <w:lang w:val="en-US" w:eastAsia="zh-CN" w:bidi="ar-SA"/>
        </w:rPr>
        <w:t>培训（款）培训支出（项）:支出决算数为5.95万元，比上年决算增加1.25万元，增长26.</w:t>
      </w:r>
      <w:r>
        <w:rPr>
          <w:rFonts w:hint="eastAsia" w:ascii="仿宋_GB2312" w:eastAsia="仿宋_GB2312" w:cs="Times New Roman"/>
          <w:color w:val="auto"/>
          <w:spacing w:val="0"/>
          <w:kern w:val="2"/>
          <w:sz w:val="32"/>
          <w:szCs w:val="32"/>
          <w:highlight w:val="none"/>
          <w:lang w:val="en-US" w:eastAsia="zh-CN" w:bidi="ar-SA"/>
        </w:rPr>
        <w:t>6</w:t>
      </w:r>
      <w:r>
        <w:rPr>
          <w:rFonts w:hint="eastAsia" w:ascii="仿宋_GB2312" w:hAnsi="Times New Roman" w:eastAsia="仿宋_GB2312" w:cs="Times New Roman"/>
          <w:color w:val="auto"/>
          <w:spacing w:val="0"/>
          <w:kern w:val="2"/>
          <w:sz w:val="32"/>
          <w:szCs w:val="32"/>
          <w:highlight w:val="none"/>
          <w:lang w:val="en-US" w:eastAsia="zh-CN" w:bidi="ar-SA"/>
        </w:rPr>
        <w:t>0%，主要原因是：今年增加了外出培训，相关支出增加</w:t>
      </w:r>
      <w:r>
        <w:rPr>
          <w:rFonts w:hint="eastAsia"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8</w:t>
      </w:r>
      <w:r>
        <w:rPr>
          <w:rFonts w:hint="eastAsia" w:ascii="仿宋_GB2312" w:hAnsi="Times New Roman" w:eastAsia="仿宋_GB2312" w:cs="Times New Roman"/>
          <w:color w:val="auto"/>
          <w:spacing w:val="0"/>
          <w:kern w:val="2"/>
          <w:sz w:val="32"/>
          <w:szCs w:val="32"/>
          <w:highlight w:val="none"/>
          <w:lang w:val="en-US" w:eastAsia="zh-CN" w:bidi="ar-SA"/>
        </w:rPr>
        <w:t>.住房保障支出（类）住房改革支出（款）住房公积金（项）:支出决算数为91.33万元，比上年决算增加7.34万元，增长8.74%，主要原因是：本年度下半年新增在编人员6人以及公积金缴费基数提高，相关支出增加。</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9</w:t>
      </w:r>
      <w:r>
        <w:rPr>
          <w:rFonts w:hint="eastAsia" w:ascii="仿宋_GB2312" w:hAnsi="Times New Roman" w:eastAsia="仿宋_GB2312" w:cs="Times New Roman"/>
          <w:color w:val="auto"/>
          <w:spacing w:val="0"/>
          <w:kern w:val="2"/>
          <w:sz w:val="32"/>
          <w:szCs w:val="32"/>
          <w:highlight w:val="none"/>
          <w:lang w:val="en-US" w:eastAsia="zh-CN" w:bidi="ar-SA"/>
        </w:rPr>
        <w:t>.社会保障和就业支出（类）行政事业单位养老支出（款）行政单位离退休（项）:支出决算数为13.59万元，比上年决算增加5.97万元，增长78.34%，主要原因是：本年度新增2名退休人员以及补发了津贴补贴</w:t>
      </w:r>
      <w:r>
        <w:rPr>
          <w:rFonts w:hint="eastAsia"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10</w:t>
      </w:r>
      <w:r>
        <w:rPr>
          <w:rFonts w:hint="eastAsia" w:ascii="仿宋_GB2312" w:hAnsi="Times New Roman" w:eastAsia="仿宋_GB2312" w:cs="Times New Roman"/>
          <w:color w:val="auto"/>
          <w:spacing w:val="0"/>
          <w:kern w:val="2"/>
          <w:sz w:val="32"/>
          <w:szCs w:val="32"/>
          <w:highlight w:val="none"/>
          <w:lang w:val="en-US" w:eastAsia="zh-CN" w:bidi="ar-SA"/>
        </w:rPr>
        <w:t>.社会保障和就业支出（类）企业改革补助（款）其他企业改革发展补助（项）:支出决算数为59.61万元，比上年决算增加28.12万元，增长89.3</w:t>
      </w:r>
      <w:r>
        <w:rPr>
          <w:rFonts w:hint="eastAsia" w:ascii="仿宋_GB2312" w:eastAsia="仿宋_GB2312" w:cs="Times New Roman"/>
          <w:color w:val="auto"/>
          <w:spacing w:val="0"/>
          <w:kern w:val="2"/>
          <w:sz w:val="32"/>
          <w:szCs w:val="32"/>
          <w:highlight w:val="none"/>
          <w:lang w:val="en-US" w:eastAsia="zh-CN" w:bidi="ar-SA"/>
        </w:rPr>
        <w:t>0</w:t>
      </w:r>
      <w:r>
        <w:rPr>
          <w:rFonts w:hint="eastAsia" w:ascii="仿宋_GB2312" w:hAnsi="Times New Roman" w:eastAsia="仿宋_GB2312" w:cs="Times New Roman"/>
          <w:color w:val="auto"/>
          <w:spacing w:val="0"/>
          <w:kern w:val="2"/>
          <w:sz w:val="32"/>
          <w:szCs w:val="32"/>
          <w:highlight w:val="none"/>
          <w:lang w:val="en-US" w:eastAsia="zh-CN" w:bidi="ar-SA"/>
        </w:rPr>
        <w:t>%，主要原因是：上年度原水电三处退休人员冬季采暖费在国有企业社会化管理经费中列支，本年度原水电三处退休人员冬季采暖费在此项中列支，相关支出增加</w:t>
      </w:r>
      <w:r>
        <w:rPr>
          <w:rFonts w:hint="eastAsia"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11</w:t>
      </w:r>
      <w:r>
        <w:rPr>
          <w:rFonts w:hint="eastAsia" w:ascii="仿宋_GB2312" w:hAnsi="Times New Roman" w:eastAsia="仿宋_GB2312" w:cs="Times New Roman"/>
          <w:color w:val="auto"/>
          <w:spacing w:val="0"/>
          <w:kern w:val="2"/>
          <w:sz w:val="32"/>
          <w:szCs w:val="32"/>
          <w:highlight w:val="none"/>
          <w:lang w:val="en-US" w:eastAsia="zh-CN" w:bidi="ar-SA"/>
        </w:rPr>
        <w:t>.社会保障和就业支出（类）行政事业单位养老支出（款）机关事业单位职业年金缴费支出（项）:支出决算数为12.42万元，比上年决算增加6.51万元，增长110.</w:t>
      </w:r>
      <w:r>
        <w:rPr>
          <w:rFonts w:hint="eastAsia" w:ascii="仿宋_GB2312" w:eastAsia="仿宋_GB2312" w:cs="Times New Roman"/>
          <w:color w:val="auto"/>
          <w:spacing w:val="0"/>
          <w:kern w:val="2"/>
          <w:sz w:val="32"/>
          <w:szCs w:val="32"/>
          <w:highlight w:val="none"/>
          <w:lang w:val="en-US" w:eastAsia="zh-CN" w:bidi="ar-SA"/>
        </w:rPr>
        <w:t>15</w:t>
      </w:r>
      <w:r>
        <w:rPr>
          <w:rFonts w:hint="eastAsia" w:ascii="仿宋_GB2312" w:hAnsi="Times New Roman" w:eastAsia="仿宋_GB2312" w:cs="Times New Roman"/>
          <w:color w:val="auto"/>
          <w:spacing w:val="0"/>
          <w:kern w:val="2"/>
          <w:sz w:val="32"/>
          <w:szCs w:val="32"/>
          <w:highlight w:val="none"/>
          <w:lang w:val="en-US" w:eastAsia="zh-CN" w:bidi="ar-SA"/>
        </w:rPr>
        <w:t>%，主要原因是：本年度新增2名退休人员，将职业年金记实，相关支出增加</w:t>
      </w:r>
      <w:r>
        <w:rPr>
          <w:rFonts w:hint="eastAsia"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en-US"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1</w:t>
      </w:r>
      <w:r>
        <w:rPr>
          <w:rFonts w:hint="eastAsia" w:ascii="仿宋_GB2312" w:eastAsia="仿宋_GB2312" w:cs="Times New Roman"/>
          <w:color w:val="auto"/>
          <w:spacing w:val="0"/>
          <w:kern w:val="2"/>
          <w:sz w:val="32"/>
          <w:szCs w:val="32"/>
          <w:highlight w:val="none"/>
          <w:lang w:val="en-US" w:eastAsia="zh-CN" w:bidi="ar-SA"/>
        </w:rPr>
        <w:t>2</w:t>
      </w:r>
      <w:r>
        <w:rPr>
          <w:rFonts w:hint="eastAsia" w:ascii="仿宋_GB2312" w:hAnsi="Times New Roman" w:eastAsia="仿宋_GB2312" w:cs="Times New Roman"/>
          <w:color w:val="auto"/>
          <w:spacing w:val="0"/>
          <w:kern w:val="2"/>
          <w:sz w:val="32"/>
          <w:szCs w:val="32"/>
          <w:highlight w:val="none"/>
          <w:lang w:val="en-US" w:eastAsia="zh-CN" w:bidi="ar-SA"/>
        </w:rPr>
        <w:t>.社会保障和就业支出（类）行政事业单位养老支出（款）机关事业单位基本养老保险缴费支出（项）:支出决算数为112.67万元，比上年决算增加5.03万元，增长4.67%，主要原因是：本年度新增6名在编人员，同时社保基数提高，相关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 w:eastAsia="仿宋_GB2312"/>
          <w:sz w:val="32"/>
          <w:szCs w:val="32"/>
          <w:highlight w:val="none"/>
        </w:rPr>
      </w:pPr>
      <w:r>
        <w:rPr>
          <w:rFonts w:hint="eastAsia" w:ascii="Times New Roman" w:hAnsi="Times New Roman" w:eastAsia="仿宋_GB2312" w:cs="Times New Roman"/>
          <w:color w:val="auto"/>
          <w:kern w:val="2"/>
          <w:sz w:val="32"/>
          <w:szCs w:val="32"/>
          <w:highlight w:val="none"/>
          <w:lang w:val="en-US" w:eastAsia="zh-CN" w:bidi="ar-SA"/>
        </w:rPr>
        <w:t>1</w:t>
      </w:r>
      <w:r>
        <w:rPr>
          <w:rFonts w:hint="eastAsia"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en-US" w:eastAsia="zh-CN" w:bidi="ar-SA"/>
        </w:rPr>
        <w:t>.社会保障和就业支出（类）就业补助（款）公益性岗位补贴（项）:支出决算数为132.31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20.36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13.33%，主要原因是：</w:t>
      </w:r>
      <w:r>
        <w:rPr>
          <w:rFonts w:hint="eastAsia" w:eastAsia="仿宋_GB2312" w:cs="Times New Roman"/>
          <w:color w:val="auto"/>
          <w:kern w:val="2"/>
          <w:sz w:val="32"/>
          <w:szCs w:val="32"/>
          <w:highlight w:val="none"/>
          <w:lang w:val="en-US" w:eastAsia="zh-CN" w:bidi="ar-SA"/>
        </w:rPr>
        <w:t>本年度</w:t>
      </w:r>
      <w:r>
        <w:rPr>
          <w:rFonts w:hint="eastAsia" w:ascii="仿宋_GB2312" w:hAnsi="仿宋" w:eastAsia="仿宋_GB2312"/>
          <w:sz w:val="32"/>
          <w:szCs w:val="32"/>
          <w:highlight w:val="none"/>
          <w:lang w:val="en-US" w:eastAsia="zh-CN"/>
        </w:rPr>
        <w:t>13名</w:t>
      </w:r>
      <w:r>
        <w:rPr>
          <w:rFonts w:hint="eastAsia" w:ascii="仿宋_GB2312" w:hAnsi="仿宋" w:eastAsia="仿宋_GB2312"/>
          <w:sz w:val="32"/>
          <w:szCs w:val="32"/>
          <w:highlight w:val="none"/>
        </w:rPr>
        <w:t>公岗人员辞职</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lang w:val="en-US" w:eastAsia="zh-CN"/>
        </w:rPr>
        <w:t>相关补贴减少</w:t>
      </w:r>
      <w:r>
        <w:rPr>
          <w:rFonts w:hint="eastAsia" w:ascii="仿宋_GB2312" w:hAnsi="仿宋" w:eastAsia="仿宋_GB2312"/>
          <w:sz w:val="32"/>
          <w:szCs w:val="32"/>
          <w:highlight w:val="none"/>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1</w:t>
      </w:r>
      <w:r>
        <w:rPr>
          <w:rFonts w:hint="eastAsia" w:ascii="仿宋_GB2312" w:eastAsia="仿宋_GB2312" w:cs="Times New Roman"/>
          <w:color w:val="auto"/>
          <w:spacing w:val="0"/>
          <w:kern w:val="2"/>
          <w:sz w:val="32"/>
          <w:szCs w:val="32"/>
          <w:highlight w:val="none"/>
          <w:lang w:val="en-US" w:eastAsia="zh-CN" w:bidi="ar-SA"/>
        </w:rPr>
        <w:t>4</w:t>
      </w:r>
      <w:r>
        <w:rPr>
          <w:rFonts w:hint="eastAsia" w:ascii="仿宋_GB2312" w:hAnsi="Times New Roman" w:eastAsia="仿宋_GB2312" w:cs="Times New Roman"/>
          <w:color w:val="auto"/>
          <w:spacing w:val="0"/>
          <w:kern w:val="2"/>
          <w:sz w:val="32"/>
          <w:szCs w:val="32"/>
          <w:highlight w:val="none"/>
          <w:lang w:val="en-US" w:eastAsia="zh-CN" w:bidi="ar-SA"/>
        </w:rPr>
        <w:t>.文化旅游体育与传媒支出（类）其他文化旅游体育与传媒支出（款）其他文化旅游体育与传媒支出（项）:支出决算数为31.00万元，比上年决算增加20.76万元，增长202.74%，主要原因是：上年度此项预算安排10.00万元，本年度预算安排31万元，相关支出增加</w:t>
      </w:r>
      <w:r>
        <w:rPr>
          <w:rFonts w:hint="eastAsia"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15</w:t>
      </w:r>
      <w:r>
        <w:rPr>
          <w:rFonts w:hint="eastAsia" w:ascii="仿宋_GB2312" w:hAnsi="Times New Roman" w:eastAsia="仿宋_GB2312" w:cs="Times New Roman"/>
          <w:color w:val="auto"/>
          <w:spacing w:val="0"/>
          <w:kern w:val="2"/>
          <w:sz w:val="32"/>
          <w:szCs w:val="32"/>
          <w:highlight w:val="none"/>
          <w:lang w:val="en-US" w:eastAsia="zh-CN" w:bidi="ar-SA"/>
        </w:rPr>
        <w:t>.文化旅游体育与传媒支出（类）文化和旅游（款）其他文化和旅游支出（项）:支出决算数为4.00万元，比上年决算增加4.00万元，增长100%，主要原因是：上年度本项未列支预算，上年度支出为0，本年度安排此项预算，相关支出增加</w:t>
      </w:r>
      <w:r>
        <w:rPr>
          <w:rFonts w:hint="eastAsia"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1</w:t>
      </w:r>
      <w:r>
        <w:rPr>
          <w:rFonts w:hint="eastAsia" w:ascii="仿宋_GB2312" w:eastAsia="仿宋_GB2312" w:cs="Times New Roman"/>
          <w:color w:val="auto"/>
          <w:spacing w:val="0"/>
          <w:kern w:val="2"/>
          <w:sz w:val="32"/>
          <w:szCs w:val="32"/>
          <w:highlight w:val="none"/>
          <w:lang w:val="en-US" w:eastAsia="zh-CN" w:bidi="ar-SA"/>
        </w:rPr>
        <w:t>6</w:t>
      </w:r>
      <w:r>
        <w:rPr>
          <w:rFonts w:hint="eastAsia" w:ascii="仿宋_GB2312" w:hAnsi="Times New Roman" w:eastAsia="仿宋_GB2312" w:cs="Times New Roman"/>
          <w:color w:val="auto"/>
          <w:spacing w:val="0"/>
          <w:kern w:val="2"/>
          <w:sz w:val="32"/>
          <w:szCs w:val="32"/>
          <w:highlight w:val="none"/>
          <w:lang w:val="en-US" w:eastAsia="zh-CN" w:bidi="ar-SA"/>
        </w:rPr>
        <w:t>.卫生健康支出（类）行政事业单位医疗（款）行政单位医疗（项）:支出决算数为52.87万元，比上年决算增加1.07万元，增长2.07%，主要原因是：本年度新增6名在编人员，相关支出增加</w:t>
      </w:r>
      <w:r>
        <w:rPr>
          <w:rFonts w:hint="eastAsia"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1</w:t>
      </w:r>
      <w:r>
        <w:rPr>
          <w:rFonts w:hint="eastAsia" w:ascii="仿宋_GB2312" w:eastAsia="仿宋_GB2312" w:cs="Times New Roman"/>
          <w:color w:val="auto"/>
          <w:spacing w:val="0"/>
          <w:kern w:val="2"/>
          <w:sz w:val="32"/>
          <w:szCs w:val="32"/>
          <w:highlight w:val="none"/>
          <w:lang w:val="en-US" w:eastAsia="zh-CN" w:bidi="ar-SA"/>
        </w:rPr>
        <w:t>7</w:t>
      </w:r>
      <w:r>
        <w:rPr>
          <w:rFonts w:hint="eastAsia" w:ascii="仿宋_GB2312" w:hAnsi="Times New Roman" w:eastAsia="仿宋_GB2312" w:cs="Times New Roman"/>
          <w:color w:val="auto"/>
          <w:spacing w:val="0"/>
          <w:kern w:val="2"/>
          <w:sz w:val="32"/>
          <w:szCs w:val="32"/>
          <w:highlight w:val="none"/>
          <w:lang w:val="en-US" w:eastAsia="zh-CN" w:bidi="ar-SA"/>
        </w:rPr>
        <w:t>.卫生健康支出（类）公共卫生（款）突发公共卫生事件应急处理（项）:支出决算数为0.00万元，比上年决算减少22.74万元，下降100%，主要原因是：上年度疫情原因新增此项预算22.74万元，本年度未安排此项预算，相关支出减少</w:t>
      </w:r>
      <w:r>
        <w:rPr>
          <w:rFonts w:hint="eastAsia"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18</w:t>
      </w:r>
      <w:r>
        <w:rPr>
          <w:rFonts w:hint="eastAsia" w:ascii="仿宋_GB2312" w:hAnsi="Times New Roman" w:eastAsia="仿宋_GB2312" w:cs="Times New Roman"/>
          <w:color w:val="auto"/>
          <w:spacing w:val="0"/>
          <w:kern w:val="2"/>
          <w:sz w:val="32"/>
          <w:szCs w:val="32"/>
          <w:highlight w:val="none"/>
          <w:lang w:val="en-US" w:eastAsia="zh-CN" w:bidi="ar-SA"/>
        </w:rPr>
        <w:t>.卫生健康支出（类）计划生育事务（款）其他计划生育事务支出（项）:支出决算数为0.00万元，比上年决算减少32.20万元，下降100%，主要原因是：上年度单位在职计生人员预算在此项中单独列出，本年度单位在职计生人员预算全部计入行政运行中，相关支出减少</w:t>
      </w:r>
      <w:r>
        <w:rPr>
          <w:rFonts w:hint="eastAsia"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19</w:t>
      </w:r>
      <w:r>
        <w:rPr>
          <w:rFonts w:hint="eastAsia" w:ascii="仿宋_GB2312" w:hAnsi="Times New Roman" w:eastAsia="仿宋_GB2312" w:cs="Times New Roman"/>
          <w:color w:val="auto"/>
          <w:spacing w:val="0"/>
          <w:kern w:val="2"/>
          <w:sz w:val="32"/>
          <w:szCs w:val="32"/>
          <w:highlight w:val="none"/>
          <w:lang w:val="en-US" w:eastAsia="zh-CN" w:bidi="ar-SA"/>
        </w:rPr>
        <w:t>.卫生健康支出（类）行政事业单位医疗（款）公务员医疗补助（项）:支出决算数为5.73万元，比上年决算减少2.93万元，下降33.83%，主要原因是：本年度2名在职人员退休，相关支出减少</w:t>
      </w:r>
      <w:r>
        <w:rPr>
          <w:rFonts w:hint="eastAsia"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20</w:t>
      </w:r>
      <w:r>
        <w:rPr>
          <w:rFonts w:hint="eastAsia" w:ascii="仿宋_GB2312" w:hAnsi="Times New Roman" w:eastAsia="仿宋_GB2312" w:cs="Times New Roman"/>
          <w:color w:val="auto"/>
          <w:spacing w:val="0"/>
          <w:kern w:val="2"/>
          <w:sz w:val="32"/>
          <w:szCs w:val="32"/>
          <w:highlight w:val="none"/>
          <w:lang w:val="en-US" w:eastAsia="zh-CN" w:bidi="ar-SA"/>
        </w:rPr>
        <w:t>.国防支出（类）国防动员（款）民兵（项）:支出决算数为0.00万元，比上年决算减少2.32万元，下降100%，主要原因是：上年度此项预算2.32万元，本年度未安排此项预算，相关支出减少</w:t>
      </w:r>
      <w:r>
        <w:rPr>
          <w:rFonts w:hint="eastAsia"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2,153.99</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2,049.61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退休费、生活补助、医疗费补助、奖励金。</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104.38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办公费、水费、电费、邮电费、取暖费、差旅费、培训费、工会经费、公务用车运行维护费、其他交通费用。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“三公”经费支出5.20万元，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减少0.00万元，下降0.07%，主要原因是：</w:t>
      </w:r>
      <w:r>
        <w:rPr>
          <w:rFonts w:hint="eastAsia" w:ascii="Times New Roman" w:hAnsi="Times New Roman" w:eastAsia="仿宋_GB2312" w:cs="Times New Roman"/>
          <w:color w:val="auto"/>
          <w:kern w:val="2"/>
          <w:sz w:val="32"/>
          <w:szCs w:val="32"/>
          <w:highlight w:val="none"/>
          <w:lang w:val="zh-CN" w:eastAsia="zh-CN" w:bidi="ar-SA"/>
        </w:rPr>
        <w:t>严格</w:t>
      </w:r>
      <w:r>
        <w:rPr>
          <w:rFonts w:hint="eastAsia" w:eastAsia="仿宋_GB2312" w:cs="Times New Roman"/>
          <w:color w:val="auto"/>
          <w:kern w:val="2"/>
          <w:sz w:val="32"/>
          <w:szCs w:val="32"/>
          <w:highlight w:val="none"/>
          <w:lang w:val="en-US" w:eastAsia="zh-CN" w:bidi="ar-SA"/>
        </w:rPr>
        <w:t>控制“三公”经费。</w:t>
      </w:r>
      <w:r>
        <w:rPr>
          <w:rFonts w:hint="eastAsia" w:ascii="Times New Roman" w:hAnsi="Times New Roman" w:eastAsia="仿宋_GB2312" w:cs="Times New Roman"/>
          <w:color w:val="auto"/>
          <w:kern w:val="2"/>
          <w:sz w:val="32"/>
          <w:szCs w:val="32"/>
          <w:highlight w:val="none"/>
          <w:lang w:val="zh-CN" w:eastAsia="zh-CN" w:bidi="ar-SA"/>
        </w:rPr>
        <w:t>厉行节约，压缩经费支出。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hint="eastAsia" w:eastAsia="仿宋_GB2312" w:cs="Times New Roman"/>
          <w:color w:val="auto"/>
          <w:kern w:val="2"/>
          <w:sz w:val="32"/>
          <w:szCs w:val="32"/>
          <w:highlight w:val="none"/>
          <w:lang w:val="en-US" w:eastAsia="zh-CN" w:bidi="ar-SA"/>
        </w:rPr>
        <w:t>本年度无因公出</w:t>
      </w:r>
      <w:r>
        <w:rPr>
          <w:rFonts w:hint="eastAsia" w:ascii="仿宋_GB2312" w:eastAsia="仿宋_GB2312"/>
          <w:color w:val="auto"/>
          <w:sz w:val="32"/>
          <w:szCs w:val="32"/>
          <w:highlight w:val="none"/>
          <w:lang w:val="zh-CN" w:eastAsia="zh-CN"/>
        </w:rPr>
        <w:t>国（境）费支出</w:t>
      </w:r>
      <w:r>
        <w:rPr>
          <w:rFonts w:hint="eastAsia" w:ascii="Times New Roman" w:hAnsi="Times New Roman" w:eastAsia="仿宋_GB2312" w:cs="Times New Roman"/>
          <w:color w:val="auto"/>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与上年相比无变动</w:t>
      </w:r>
      <w:r>
        <w:rPr>
          <w:rFonts w:hint="eastAsia" w:ascii="仿宋_GB2312" w:eastAsia="仿宋_GB2312"/>
          <w:color w:val="auto"/>
          <w:sz w:val="32"/>
          <w:szCs w:val="32"/>
          <w:highlight w:val="none"/>
          <w:lang w:val="zh-CN" w:eastAsia="zh-CN"/>
        </w:rPr>
        <w:t>；公务用车购置及运行维护费支出5.20万元，占100.00%，比上年减少0.00万元，下降0.0</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val="zh-CN" w:eastAsia="zh-CN"/>
        </w:rPr>
        <w:t>%，主要原因是：</w:t>
      </w:r>
      <w:r>
        <w:rPr>
          <w:rFonts w:hint="eastAsia" w:ascii="Times New Roman" w:hAnsi="Times New Roman" w:eastAsia="仿宋_GB2312" w:cs="Times New Roman"/>
          <w:color w:val="auto"/>
          <w:kern w:val="2"/>
          <w:sz w:val="32"/>
          <w:szCs w:val="32"/>
          <w:highlight w:val="none"/>
          <w:lang w:val="zh-CN" w:eastAsia="zh-CN" w:bidi="ar-SA"/>
        </w:rPr>
        <w:t>严格</w:t>
      </w:r>
      <w:r>
        <w:rPr>
          <w:rFonts w:hint="eastAsia" w:eastAsia="仿宋_GB2312" w:cs="Times New Roman"/>
          <w:color w:val="auto"/>
          <w:kern w:val="2"/>
          <w:sz w:val="32"/>
          <w:szCs w:val="32"/>
          <w:highlight w:val="none"/>
          <w:lang w:val="en-US" w:eastAsia="zh-CN" w:bidi="ar-SA"/>
        </w:rPr>
        <w:t>控制“三公”经费。</w:t>
      </w:r>
      <w:r>
        <w:rPr>
          <w:rFonts w:hint="eastAsia" w:ascii="Times New Roman" w:hAnsi="Times New Roman" w:eastAsia="仿宋_GB2312" w:cs="Times New Roman"/>
          <w:color w:val="auto"/>
          <w:kern w:val="2"/>
          <w:sz w:val="32"/>
          <w:szCs w:val="32"/>
          <w:highlight w:val="none"/>
          <w:lang w:val="zh-CN" w:eastAsia="zh-CN" w:bidi="ar-SA"/>
        </w:rPr>
        <w:t>厉行节约，压缩各项经费支出</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hint="eastAsia" w:eastAsia="仿宋_GB2312" w:cs="Times New Roman"/>
          <w:color w:val="auto"/>
          <w:kern w:val="2"/>
          <w:sz w:val="32"/>
          <w:szCs w:val="32"/>
          <w:highlight w:val="none"/>
          <w:lang w:val="en-US" w:eastAsia="zh-CN" w:bidi="ar-SA"/>
        </w:rPr>
        <w:t>本年度无</w:t>
      </w:r>
      <w:r>
        <w:rPr>
          <w:rFonts w:hint="eastAsia" w:ascii="仿宋_GB2312" w:eastAsia="仿宋_GB2312"/>
          <w:color w:val="auto"/>
          <w:sz w:val="32"/>
          <w:szCs w:val="32"/>
          <w:highlight w:val="none"/>
          <w:lang w:val="zh-CN" w:eastAsia="zh-CN"/>
        </w:rPr>
        <w:t>公务接待费支出</w:t>
      </w:r>
      <w:r>
        <w:rPr>
          <w:rFonts w:hint="eastAsia" w:ascii="Times New Roman" w:hAnsi="Times New Roman" w:eastAsia="仿宋_GB2312" w:cs="Times New Roman"/>
          <w:color w:val="auto"/>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与上年相比无变动</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snapToGrid w:val="0"/>
        <w:spacing w:line="520" w:lineRule="exact"/>
        <w:ind w:firstLine="640" w:firstLineChars="200"/>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w:t>
      </w:r>
      <w:r>
        <w:rPr>
          <w:rFonts w:hint="eastAsia" w:ascii="仿宋_GB2312" w:eastAsia="仿宋_GB2312"/>
          <w:color w:val="auto"/>
          <w:sz w:val="32"/>
          <w:szCs w:val="32"/>
          <w:highlight w:val="none"/>
          <w:lang w:val="en-US" w:eastAsia="zh-CN"/>
        </w:rPr>
        <w:t>本年未安排</w:t>
      </w:r>
      <w:r>
        <w:rPr>
          <w:rFonts w:hint="eastAsia" w:ascii="仿宋_GB2312" w:eastAsia="仿宋_GB2312"/>
          <w:color w:val="auto"/>
          <w:sz w:val="32"/>
          <w:szCs w:val="32"/>
          <w:highlight w:val="none"/>
          <w:lang w:val="zh-CN" w:eastAsia="zh-CN"/>
        </w:rPr>
        <w:t>因公出国（境）费</w:t>
      </w:r>
      <w:r>
        <w:rPr>
          <w:rFonts w:hint="eastAsia" w:ascii="仿宋_GB2312" w:eastAsia="仿宋_GB2312"/>
          <w:color w:val="auto"/>
          <w:sz w:val="32"/>
          <w:szCs w:val="32"/>
          <w:highlight w:val="none"/>
          <w:lang w:val="en-US" w:eastAsia="zh-CN"/>
        </w:rPr>
        <w:t>支出</w:t>
      </w:r>
      <w:r>
        <w:rPr>
          <w:rFonts w:hint="eastAsia" w:ascii="仿宋_GB2312" w:eastAsia="仿宋_GB2312"/>
          <w:sz w:val="32"/>
          <w:szCs w:val="32"/>
          <w:highlight w:val="none"/>
        </w:rPr>
        <w:t>。</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公务用车购置及运行维护费5.20万元，其中：公务用车购置费0.00万元，公务用车运行维护费5.20万元。公务用车运行维护费开支内容包括</w:t>
      </w:r>
      <w:r>
        <w:rPr>
          <w:rFonts w:hint="eastAsia" w:ascii="仿宋_GB2312" w:eastAsia="仿宋_GB2312"/>
          <w:sz w:val="32"/>
          <w:szCs w:val="32"/>
          <w:highlight w:val="none"/>
        </w:rPr>
        <w:t>公务用车的燃料费、修理费、保险费等支出。</w:t>
      </w:r>
      <w:r>
        <w:rPr>
          <w:rFonts w:hint="eastAsia" w:ascii="仿宋_GB2312" w:eastAsia="仿宋_GB2312"/>
          <w:color w:val="auto"/>
          <w:sz w:val="32"/>
          <w:szCs w:val="32"/>
          <w:highlight w:val="none"/>
          <w:lang w:val="zh-CN" w:eastAsia="zh-CN"/>
        </w:rPr>
        <w:t>公务用车购置数0辆，公务用车保有量7辆。国有资产占用情况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本单位固定资产车辆除公务用车保有量7辆外，其余为调拨车辆共计4辆</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w:t>
      </w:r>
      <w:r>
        <w:rPr>
          <w:rFonts w:hint="eastAsia" w:ascii="仿宋_GB2312" w:eastAsia="仿宋_GB2312"/>
          <w:color w:val="auto"/>
          <w:sz w:val="32"/>
          <w:szCs w:val="32"/>
          <w:highlight w:val="none"/>
          <w:lang w:val="en-US" w:eastAsia="zh-CN"/>
        </w:rPr>
        <w:t>本年未安排公务接待费支出</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预算数5.20万元，决算数5.20万元，预决算差异率0.00%，主要原因是：</w:t>
      </w:r>
      <w:r>
        <w:rPr>
          <w:rFonts w:hint="eastAsia" w:ascii="仿宋_GB2312" w:eastAsia="仿宋_GB2312"/>
          <w:color w:val="auto"/>
          <w:sz w:val="32"/>
          <w:szCs w:val="32"/>
          <w:highlight w:val="none"/>
          <w:lang w:val="en-US" w:eastAsia="zh-CN"/>
        </w:rPr>
        <w:t>严格控制预算支出，预决算无差异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本年度无</w:t>
      </w:r>
      <w:r>
        <w:rPr>
          <w:rFonts w:hint="eastAsia" w:ascii="仿宋_GB2312" w:eastAsia="仿宋_GB2312"/>
          <w:color w:val="auto"/>
          <w:sz w:val="32"/>
          <w:szCs w:val="32"/>
          <w:highlight w:val="none"/>
          <w:lang w:val="zh-CN" w:eastAsia="zh-CN"/>
        </w:rPr>
        <w:t>因公出国（境）费</w:t>
      </w:r>
      <w:r>
        <w:rPr>
          <w:rFonts w:hint="eastAsia" w:ascii="仿宋_GB2312" w:eastAsia="仿宋_GB2312"/>
          <w:color w:val="auto"/>
          <w:sz w:val="32"/>
          <w:szCs w:val="32"/>
          <w:highlight w:val="none"/>
          <w:lang w:val="en-US" w:eastAsia="zh-CN"/>
        </w:rPr>
        <w:t>支出，预决算无差异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本年度无</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支出，预决算无差异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预算数5.20万元，决算数5.20万元，预决算差异率0.00%，主要原因是：</w:t>
      </w:r>
      <w:r>
        <w:rPr>
          <w:rFonts w:hint="eastAsia" w:ascii="仿宋_GB2312" w:eastAsia="仿宋_GB2312"/>
          <w:color w:val="auto"/>
          <w:sz w:val="32"/>
          <w:szCs w:val="32"/>
          <w:highlight w:val="none"/>
          <w:lang w:val="en-US" w:eastAsia="zh-CN"/>
        </w:rPr>
        <w:t>严格控制预算支出，预决算无差异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本年度无</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支出，预决算无差异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政府性基金预算</w:t>
      </w:r>
      <w:r>
        <w:rPr>
          <w:rFonts w:hint="eastAsia" w:ascii="Times New Roman" w:hAnsi="Times New Roman" w:eastAsia="仿宋_GB2312" w:cs="Times New Roman"/>
          <w:color w:val="auto"/>
          <w:sz w:val="32"/>
          <w:szCs w:val="32"/>
          <w:highlight w:val="none"/>
          <w:lang w:val="en-US" w:eastAsia="zh-CN"/>
        </w:rPr>
        <w:t>财政拨款</w:t>
      </w:r>
      <w:r>
        <w:rPr>
          <w:rFonts w:hint="eastAsia" w:ascii="Times New Roman" w:hAnsi="Times New Roman" w:eastAsia="仿宋_GB2312" w:cs="Times New Roman"/>
          <w:color w:val="auto"/>
          <w:sz w:val="32"/>
          <w:szCs w:val="32"/>
          <w:highlight w:val="none"/>
          <w:lang w:val="zh-CN"/>
        </w:rPr>
        <w:t>收入</w:t>
      </w:r>
      <w:r>
        <w:rPr>
          <w:rFonts w:hint="eastAsia" w:ascii="Times New Roman" w:hAnsi="Times New Roman" w:eastAsia="仿宋_GB2312" w:cs="Times New Roman"/>
          <w:color w:val="auto"/>
          <w:sz w:val="32"/>
          <w:szCs w:val="32"/>
          <w:highlight w:val="none"/>
          <w:lang w:val="en-US" w:eastAsia="zh-CN"/>
        </w:rPr>
        <w:t>总计105.00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en-US" w:eastAsia="zh-CN"/>
        </w:rPr>
        <w:t>其中：年初结转和结余0.00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本年收入105.00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rPr>
        <w:t>政府性基金预算财政拨款支出</w:t>
      </w:r>
      <w:r>
        <w:rPr>
          <w:rFonts w:hint="eastAsia" w:ascii="Times New Roman" w:hAnsi="Times New Roman" w:eastAsia="仿宋_GB2312" w:cs="Times New Roman"/>
          <w:color w:val="auto"/>
          <w:sz w:val="32"/>
          <w:szCs w:val="32"/>
          <w:highlight w:val="none"/>
          <w:lang w:val="en-US" w:eastAsia="zh-CN"/>
        </w:rPr>
        <w:t>总计105.00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en-US" w:eastAsia="zh-CN"/>
        </w:rPr>
        <w:t>其中：年末结转和结余0.00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本年支出105.00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Times New Roman" w:hAnsi="Times New Roman" w:eastAsia="仿宋_GB2312" w:cs="Times New Roman"/>
          <w:color w:val="auto"/>
          <w:sz w:val="32"/>
          <w:szCs w:val="32"/>
          <w:highlight w:val="none"/>
          <w:lang w:val="zh-CN"/>
        </w:rPr>
        <w:t>政府性基金预算财政拨款</w:t>
      </w:r>
      <w:r>
        <w:rPr>
          <w:rFonts w:hint="eastAsia" w:ascii="Times New Roman" w:hAnsi="Times New Roman" w:eastAsia="仿宋_GB2312" w:cs="Times New Roman"/>
          <w:color w:val="auto"/>
          <w:sz w:val="32"/>
          <w:szCs w:val="32"/>
          <w:highlight w:val="none"/>
          <w:lang w:val="en-US" w:eastAsia="zh-CN"/>
        </w:rPr>
        <w:t>收入支出</w:t>
      </w:r>
      <w:r>
        <w:rPr>
          <w:rFonts w:hint="eastAsia" w:ascii="Times New Roman" w:hAnsi="Times New Roman" w:eastAsia="仿宋_GB2312" w:cs="Times New Roman"/>
          <w:color w:val="auto"/>
          <w:sz w:val="32"/>
          <w:szCs w:val="32"/>
          <w:highlight w:val="none"/>
          <w:lang w:val="zh-CN"/>
        </w:rPr>
        <w:t>与上年相比，增加105.00万元，增长</w:t>
      </w:r>
      <w:r>
        <w:rPr>
          <w:rFonts w:hint="eastAsia" w:eastAsia="仿宋_GB2312" w:cs="Times New Roman"/>
          <w:color w:val="auto"/>
          <w:sz w:val="32"/>
          <w:szCs w:val="32"/>
          <w:highlight w:val="none"/>
          <w:lang w:val="en-US" w:eastAsia="zh-CN"/>
        </w:rPr>
        <w:t>100</w:t>
      </w:r>
      <w:r>
        <w:rPr>
          <w:rFonts w:hint="eastAsia" w:ascii="Times New Roman" w:hAnsi="Times New Roman" w:eastAsia="仿宋_GB2312" w:cs="Times New Roman"/>
          <w:color w:val="auto"/>
          <w:sz w:val="32"/>
          <w:szCs w:val="32"/>
          <w:highlight w:val="none"/>
          <w:lang w:val="zh-CN"/>
        </w:rPr>
        <w:t>.00%，</w:t>
      </w:r>
      <w:r>
        <w:rPr>
          <w:rFonts w:hint="eastAsia" w:ascii="Times New Roman" w:hAnsi="Times New Roman" w:eastAsia="仿宋_GB2312" w:cs="Times New Roman"/>
          <w:color w:val="auto"/>
          <w:sz w:val="32"/>
          <w:szCs w:val="32"/>
          <w:highlight w:val="none"/>
          <w:lang w:val="zh-CN" w:eastAsia="zh-CN"/>
        </w:rPr>
        <w:t>主要原因是</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方正仿宋_GBK" w:cs="Times New Roman"/>
          <w:bCs/>
          <w:kern w:val="0"/>
          <w:sz w:val="31"/>
          <w:szCs w:val="31"/>
          <w:highlight w:val="none"/>
          <w:lang w:val="en-US" w:eastAsia="zh-CN" w:bidi="ar-SA"/>
        </w:rPr>
        <w:t>上年度未安排此科目预算</w:t>
      </w:r>
      <w:r>
        <w:rPr>
          <w:rFonts w:hint="eastAsia" w:eastAsia="方正仿宋_GBK" w:cs="Times New Roman"/>
          <w:bCs/>
          <w:kern w:val="0"/>
          <w:sz w:val="31"/>
          <w:szCs w:val="31"/>
          <w:highlight w:val="none"/>
          <w:lang w:val="en-US" w:eastAsia="zh-CN" w:bidi="ar-SA"/>
        </w:rPr>
        <w:t>，</w:t>
      </w:r>
      <w:r>
        <w:rPr>
          <w:rFonts w:hint="eastAsia" w:eastAsia="仿宋_GB2312" w:cs="Times New Roman"/>
          <w:color w:val="auto"/>
          <w:sz w:val="32"/>
          <w:szCs w:val="32"/>
          <w:highlight w:val="none"/>
          <w:lang w:val="en-US" w:eastAsia="zh-CN"/>
        </w:rPr>
        <w:t>本年度新增春节节前农民工工资项目，并</w:t>
      </w:r>
      <w:r>
        <w:rPr>
          <w:rFonts w:hint="eastAsia" w:ascii="仿宋_GB2312" w:eastAsia="仿宋_GB2312"/>
          <w:color w:val="auto"/>
          <w:spacing w:val="0"/>
          <w:sz w:val="32"/>
          <w:szCs w:val="32"/>
          <w:highlight w:val="none"/>
          <w:lang w:val="en-US" w:eastAsia="zh-CN"/>
        </w:rPr>
        <w:t>支付了双拥社区体育彩票工程项目欠款</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rPr>
        <w:t>与</w:t>
      </w:r>
      <w:r>
        <w:rPr>
          <w:rFonts w:hint="eastAsia" w:ascii="Times New Roman" w:hAnsi="Times New Roman" w:eastAsia="仿宋_GB2312" w:cs="Times New Roman"/>
          <w:color w:val="auto"/>
          <w:sz w:val="32"/>
          <w:szCs w:val="32"/>
          <w:highlight w:val="none"/>
          <w:lang w:val="zh-CN" w:eastAsia="zh-CN"/>
        </w:rPr>
        <w:t>年初预算</w:t>
      </w:r>
      <w:r>
        <w:rPr>
          <w:rFonts w:hint="eastAsia" w:ascii="Times New Roman" w:hAnsi="Times New Roman" w:eastAsia="仿宋_GB2312" w:cs="Times New Roman"/>
          <w:color w:val="auto"/>
          <w:sz w:val="32"/>
          <w:szCs w:val="32"/>
          <w:highlight w:val="none"/>
          <w:lang w:val="zh-CN"/>
        </w:rPr>
        <w:t>相比</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年初预算数</w:t>
      </w:r>
      <w:r>
        <w:rPr>
          <w:rFonts w:hint="eastAsia" w:ascii="Times New Roman" w:hAnsi="Times New Roman" w:eastAsia="仿宋_GB2312" w:cs="Times New Roman"/>
          <w:color w:val="auto"/>
          <w:sz w:val="32"/>
          <w:szCs w:val="32"/>
          <w:highlight w:val="none"/>
          <w:lang w:val="en-US" w:eastAsia="zh-CN"/>
        </w:rPr>
        <w:t>115.00</w:t>
      </w:r>
      <w:r>
        <w:rPr>
          <w:rFonts w:hint="eastAsia" w:ascii="Times New Roman" w:hAnsi="Times New Roman" w:eastAsia="仿宋_GB2312" w:cs="Times New Roman"/>
          <w:color w:val="auto"/>
          <w:sz w:val="32"/>
          <w:szCs w:val="32"/>
          <w:highlight w:val="none"/>
          <w:lang w:val="zh-CN"/>
        </w:rPr>
        <w:t>万元，决算数</w:t>
      </w:r>
      <w:r>
        <w:rPr>
          <w:rFonts w:hint="eastAsia" w:ascii="Times New Roman" w:hAnsi="Times New Roman" w:eastAsia="仿宋_GB2312" w:cs="Times New Roman"/>
          <w:color w:val="auto"/>
          <w:sz w:val="30"/>
          <w:szCs w:val="30"/>
          <w:highlight w:val="none"/>
          <w:lang w:val="en-US" w:eastAsia="zh-CN"/>
        </w:rPr>
        <w:t>105.00</w:t>
      </w:r>
      <w:r>
        <w:rPr>
          <w:rFonts w:hint="eastAsia" w:ascii="Times New Roman" w:hAnsi="Times New Roman" w:eastAsia="仿宋_GB2312" w:cs="Times New Roman"/>
          <w:color w:val="auto"/>
          <w:sz w:val="32"/>
          <w:szCs w:val="32"/>
          <w:highlight w:val="none"/>
          <w:lang w:val="zh-CN"/>
        </w:rPr>
        <w:t>万元，预决算差异率</w:t>
      </w:r>
      <w:r>
        <w:rPr>
          <w:rFonts w:hint="eastAsia" w:ascii="Times New Roman" w:hAnsi="Times New Roman" w:eastAsia="仿宋_GB2312" w:cs="Times New Roman"/>
          <w:color w:val="auto"/>
          <w:sz w:val="32"/>
          <w:szCs w:val="32"/>
          <w:highlight w:val="none"/>
          <w:lang w:val="zh-CN" w:eastAsia="zh-CN"/>
        </w:rPr>
        <w:t>-8.70%，主要原因是：</w:t>
      </w:r>
      <w:r>
        <w:rPr>
          <w:rFonts w:hint="eastAsia" w:eastAsia="仿宋_GB2312" w:cs="Times New Roman"/>
          <w:color w:val="auto"/>
          <w:sz w:val="32"/>
          <w:szCs w:val="32"/>
          <w:highlight w:val="none"/>
          <w:lang w:val="en-US" w:eastAsia="zh-CN"/>
        </w:rPr>
        <w:t>支出春节节前农民工工资6.00万元，支出</w:t>
      </w:r>
      <w:r>
        <w:rPr>
          <w:rFonts w:hint="eastAsia" w:ascii="仿宋_GB2312" w:eastAsia="仿宋_GB2312"/>
          <w:color w:val="auto"/>
          <w:spacing w:val="0"/>
          <w:sz w:val="32"/>
          <w:szCs w:val="32"/>
          <w:highlight w:val="none"/>
          <w:lang w:val="en-US" w:eastAsia="zh-CN"/>
        </w:rPr>
        <w:t>双拥社区体育彩票工程项目欠款99.00万元，</w:t>
      </w:r>
      <w:r>
        <w:rPr>
          <w:rFonts w:hint="eastAsia" w:ascii="Times New Roman" w:hAnsi="Times New Roman" w:eastAsia="方正仿宋_GBK" w:cs="Times New Roman"/>
          <w:bCs/>
          <w:kern w:val="0"/>
          <w:sz w:val="31"/>
          <w:szCs w:val="31"/>
          <w:highlight w:val="none"/>
          <w:lang w:val="en-US" w:eastAsia="zh-CN" w:bidi="ar-SA"/>
        </w:rPr>
        <w:t>根据中央八项规定</w:t>
      </w:r>
      <w:r>
        <w:rPr>
          <w:rFonts w:hint="eastAsia" w:eastAsia="方正仿宋_GBK" w:cs="Times New Roman"/>
          <w:bCs/>
          <w:kern w:val="0"/>
          <w:sz w:val="31"/>
          <w:szCs w:val="31"/>
          <w:highlight w:val="none"/>
          <w:lang w:val="en-US" w:eastAsia="zh-CN" w:bidi="ar-SA"/>
        </w:rPr>
        <w:t>，</w:t>
      </w:r>
      <w:r>
        <w:rPr>
          <w:rFonts w:hint="eastAsia" w:eastAsia="仿宋_GB2312" w:cs="Times New Roman"/>
          <w:color w:val="auto"/>
          <w:sz w:val="32"/>
          <w:szCs w:val="32"/>
          <w:highlight w:val="none"/>
          <w:lang w:val="en-US" w:eastAsia="zh-CN"/>
        </w:rPr>
        <w:t>厉行节约，压缩开支</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rPr>
        <w:t>政府性基金预算财政拨款支出</w:t>
      </w:r>
      <w:r>
        <w:rPr>
          <w:rFonts w:hint="eastAsia" w:ascii="Times New Roman" w:hAnsi="Times New Roman" w:eastAsia="仿宋_GB2312" w:cs="Times New Roman"/>
          <w:color w:val="auto"/>
          <w:sz w:val="32"/>
          <w:szCs w:val="32"/>
          <w:highlight w:val="none"/>
          <w:lang w:val="zh-CN" w:eastAsia="zh-CN"/>
        </w:rPr>
        <w:t>105.00</w:t>
      </w:r>
      <w:r>
        <w:rPr>
          <w:rFonts w:hint="eastAsia" w:ascii="Times New Roman" w:hAnsi="Times New Roman" w:eastAsia="仿宋_GB2312" w:cs="Times New Roman"/>
          <w:color w:val="auto"/>
          <w:sz w:val="32"/>
          <w:szCs w:val="32"/>
          <w:highlight w:val="none"/>
          <w:lang w:val="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rPr>
        <w:t>1.城乡社区支出（类）国有土地使用权出让收入安排的支出（款）其他国有土地使用权出让收入安排的支出（项）:支出决算数为6.00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，比上年决算</w:t>
      </w:r>
      <w:r>
        <w:rPr>
          <w:rFonts w:hint="eastAsia" w:ascii="Times New Roman" w:hAnsi="Times New Roman" w:eastAsia="仿宋_GB2312" w:cs="Times New Roman"/>
          <w:color w:val="auto"/>
          <w:sz w:val="32"/>
          <w:szCs w:val="32"/>
          <w:highlight w:val="none"/>
          <w:lang w:val="en-US" w:eastAsia="zh-CN"/>
        </w:rPr>
        <w:t>增加</w:t>
      </w:r>
      <w:r>
        <w:rPr>
          <w:rFonts w:hint="eastAsia" w:ascii="Times New Roman" w:hAnsi="Times New Roman" w:eastAsia="仿宋_GB2312" w:cs="Times New Roman"/>
          <w:color w:val="auto"/>
          <w:sz w:val="32"/>
          <w:szCs w:val="32"/>
          <w:highlight w:val="none"/>
          <w:lang w:val="zh-CN"/>
        </w:rPr>
        <w:t>6.00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en-US" w:eastAsia="zh-CN"/>
        </w:rPr>
        <w:t>增长</w:t>
      </w:r>
      <w:r>
        <w:rPr>
          <w:rFonts w:hint="eastAsia" w:ascii="Times New Roman" w:hAnsi="Times New Roman" w:eastAsia="仿宋_GB2312" w:cs="Times New Roman"/>
          <w:color w:val="auto"/>
          <w:sz w:val="32"/>
          <w:szCs w:val="32"/>
          <w:highlight w:val="none"/>
          <w:lang w:val="zh-CN"/>
        </w:rPr>
        <w:t>100%，主要原因是：</w:t>
      </w:r>
      <w:r>
        <w:rPr>
          <w:rFonts w:hint="eastAsia" w:eastAsia="仿宋_GB2312" w:cs="Times New Roman"/>
          <w:color w:val="auto"/>
          <w:sz w:val="32"/>
          <w:szCs w:val="32"/>
          <w:highlight w:val="none"/>
          <w:lang w:val="en-US" w:eastAsia="zh-CN"/>
        </w:rPr>
        <w:t>上年度无此项预算安排，本年度安排此项预算，相关支出增加</w:t>
      </w:r>
      <w:r>
        <w:rPr>
          <w:rFonts w:hint="eastAsia" w:ascii="Times New Roman" w:hAnsi="Times New Roman" w:eastAsia="仿宋_GB2312" w:cs="Times New Roman"/>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rPr>
        <w:t>2.城乡社区支出（类）国有土地使用权出让收入安排的支出（款）城市建设支出（项）:支出决算数为99.00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，比上年决算</w:t>
      </w:r>
      <w:r>
        <w:rPr>
          <w:rFonts w:hint="eastAsia" w:ascii="Times New Roman" w:hAnsi="Times New Roman" w:eastAsia="仿宋_GB2312" w:cs="Times New Roman"/>
          <w:color w:val="auto"/>
          <w:sz w:val="32"/>
          <w:szCs w:val="32"/>
          <w:highlight w:val="none"/>
          <w:lang w:val="en-US" w:eastAsia="zh-CN"/>
        </w:rPr>
        <w:t>增加</w:t>
      </w:r>
      <w:r>
        <w:rPr>
          <w:rFonts w:hint="eastAsia" w:ascii="Times New Roman" w:hAnsi="Times New Roman" w:eastAsia="仿宋_GB2312" w:cs="Times New Roman"/>
          <w:color w:val="auto"/>
          <w:sz w:val="32"/>
          <w:szCs w:val="32"/>
          <w:highlight w:val="none"/>
          <w:lang w:val="zh-CN"/>
        </w:rPr>
        <w:t>99.00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en-US" w:eastAsia="zh-CN"/>
        </w:rPr>
        <w:t>增长</w:t>
      </w:r>
      <w:r>
        <w:rPr>
          <w:rFonts w:hint="eastAsia" w:ascii="Times New Roman" w:hAnsi="Times New Roman" w:eastAsia="仿宋_GB2312" w:cs="Times New Roman"/>
          <w:color w:val="auto"/>
          <w:sz w:val="32"/>
          <w:szCs w:val="32"/>
          <w:highlight w:val="none"/>
          <w:lang w:val="zh-CN"/>
        </w:rPr>
        <w:t>100%，主要原因是：</w:t>
      </w:r>
      <w:r>
        <w:rPr>
          <w:rFonts w:hint="eastAsia" w:ascii="Times New Roman" w:hAnsi="Times New Roman" w:eastAsia="方正仿宋_GBK" w:cs="Times New Roman"/>
          <w:bCs/>
          <w:kern w:val="0"/>
          <w:sz w:val="31"/>
          <w:szCs w:val="31"/>
          <w:highlight w:val="none"/>
          <w:lang w:val="en-US" w:eastAsia="zh-CN" w:bidi="ar-SA"/>
        </w:rPr>
        <w:t>上年度未安排此科目预算</w:t>
      </w:r>
      <w:r>
        <w:rPr>
          <w:rFonts w:hint="eastAsia" w:eastAsia="仿宋_GB2312" w:cs="Times New Roman"/>
          <w:color w:val="auto"/>
          <w:sz w:val="32"/>
          <w:szCs w:val="32"/>
          <w:highlight w:val="none"/>
          <w:lang w:val="en-US" w:eastAsia="zh-CN"/>
        </w:rPr>
        <w:t>，本年度安排此项预算，相关支出增加</w:t>
      </w:r>
      <w:r>
        <w:rPr>
          <w:rFonts w:hint="eastAsia" w:ascii="Times New Roman" w:hAnsi="Times New Roman" w:eastAsia="仿宋_GB2312" w:cs="Times New Roman"/>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2023年度国有资本经营预算</w:t>
      </w:r>
      <w:r>
        <w:rPr>
          <w:rFonts w:hint="eastAsia" w:ascii="Times New Roman" w:hAnsi="Times New Roman" w:eastAsia="仿宋_GB2312" w:cs="Times New Roman"/>
          <w:color w:val="auto"/>
          <w:sz w:val="32"/>
          <w:szCs w:val="32"/>
          <w:highlight w:val="none"/>
          <w:lang w:val="en-US" w:eastAsia="zh-CN"/>
        </w:rPr>
        <w:t>财政拨款</w:t>
      </w:r>
      <w:r>
        <w:rPr>
          <w:rFonts w:hint="eastAsia" w:ascii="Times New Roman" w:hAnsi="Times New Roman" w:eastAsia="仿宋_GB2312" w:cs="Times New Roman"/>
          <w:color w:val="auto"/>
          <w:sz w:val="32"/>
          <w:szCs w:val="32"/>
          <w:highlight w:val="none"/>
          <w:lang w:val="zh-CN" w:eastAsia="zh-CN"/>
        </w:rPr>
        <w:t>收入</w:t>
      </w:r>
      <w:r>
        <w:rPr>
          <w:rFonts w:hint="eastAsia" w:ascii="Times New Roman" w:hAnsi="Times New Roman" w:eastAsia="仿宋_GB2312" w:cs="Times New Roman"/>
          <w:color w:val="auto"/>
          <w:sz w:val="32"/>
          <w:szCs w:val="32"/>
          <w:highlight w:val="none"/>
          <w:lang w:val="en-US" w:eastAsia="zh-CN"/>
        </w:rPr>
        <w:t>总计75.59</w:t>
      </w:r>
      <w:r>
        <w:rPr>
          <w:rFonts w:hint="eastAsia" w:ascii="Times New Roman" w:hAnsi="Times New Roman" w:eastAsia="仿宋_GB2312" w:cs="Times New Roman"/>
          <w:color w:val="auto"/>
          <w:sz w:val="32"/>
          <w:szCs w:val="32"/>
          <w:highlight w:val="none"/>
          <w:lang w:val="zh-CN" w:eastAsia="zh-CN"/>
        </w:rPr>
        <w:t>万元，</w:t>
      </w:r>
      <w:r>
        <w:rPr>
          <w:rFonts w:hint="eastAsia" w:ascii="Times New Roman" w:hAnsi="Times New Roman" w:eastAsia="仿宋_GB2312" w:cs="Times New Roman"/>
          <w:color w:val="auto"/>
          <w:sz w:val="32"/>
          <w:szCs w:val="32"/>
          <w:highlight w:val="none"/>
          <w:lang w:val="en-US" w:eastAsia="zh-CN"/>
        </w:rPr>
        <w:t>其中：年初结转和结余</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en-US" w:eastAsia="zh-CN"/>
        </w:rPr>
        <w:t>本年收入</w:t>
      </w:r>
      <w:r>
        <w:rPr>
          <w:rFonts w:hint="eastAsia" w:ascii="Times New Roman" w:hAnsi="Times New Roman" w:eastAsia="仿宋_GB2312" w:cs="Times New Roman"/>
          <w:color w:val="auto"/>
          <w:sz w:val="32"/>
          <w:szCs w:val="32"/>
          <w:highlight w:val="none"/>
          <w:lang w:val="zh-CN" w:eastAsia="zh-CN"/>
        </w:rPr>
        <w:t>75.59万元。国有资本经营预算财政拨款支出</w:t>
      </w:r>
      <w:r>
        <w:rPr>
          <w:rFonts w:hint="eastAsia" w:ascii="Times New Roman" w:hAnsi="Times New Roman" w:eastAsia="仿宋_GB2312" w:cs="Times New Roman"/>
          <w:color w:val="auto"/>
          <w:sz w:val="32"/>
          <w:szCs w:val="32"/>
          <w:highlight w:val="none"/>
          <w:lang w:val="en-US" w:eastAsia="zh-CN"/>
        </w:rPr>
        <w:t>总计75.59</w:t>
      </w:r>
      <w:r>
        <w:rPr>
          <w:rFonts w:hint="eastAsia" w:ascii="Times New Roman" w:hAnsi="Times New Roman" w:eastAsia="仿宋_GB2312" w:cs="Times New Roman"/>
          <w:color w:val="auto"/>
          <w:sz w:val="32"/>
          <w:szCs w:val="32"/>
          <w:highlight w:val="none"/>
          <w:lang w:val="zh-CN" w:eastAsia="zh-CN"/>
        </w:rPr>
        <w:t>万元，</w:t>
      </w:r>
      <w:r>
        <w:rPr>
          <w:rFonts w:hint="eastAsia" w:ascii="Times New Roman" w:hAnsi="Times New Roman" w:eastAsia="仿宋_GB2312" w:cs="Times New Roman"/>
          <w:color w:val="auto"/>
          <w:sz w:val="32"/>
          <w:szCs w:val="32"/>
          <w:highlight w:val="none"/>
          <w:lang w:val="en-US" w:eastAsia="zh-CN"/>
        </w:rPr>
        <w:t>其中：年末结转和结余</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en-US" w:eastAsia="zh-CN"/>
        </w:rPr>
        <w:t>本年支出</w:t>
      </w:r>
      <w:r>
        <w:rPr>
          <w:rFonts w:hint="eastAsia" w:ascii="Times New Roman" w:hAnsi="Times New Roman" w:eastAsia="仿宋_GB2312" w:cs="Times New Roman"/>
          <w:color w:val="auto"/>
          <w:sz w:val="32"/>
          <w:szCs w:val="32"/>
          <w:highlight w:val="none"/>
          <w:lang w:val="zh-CN" w:eastAsia="zh-CN"/>
        </w:rPr>
        <w:t>75.59万元。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国有资本经营预算财政拨款</w:t>
      </w:r>
      <w:r>
        <w:rPr>
          <w:rFonts w:hint="eastAsia" w:ascii="Times New Roman" w:hAnsi="Times New Roman" w:eastAsia="仿宋_GB2312" w:cs="Times New Roman"/>
          <w:color w:val="auto"/>
          <w:sz w:val="32"/>
          <w:szCs w:val="32"/>
          <w:highlight w:val="none"/>
          <w:lang w:val="en-US" w:eastAsia="zh-CN"/>
        </w:rPr>
        <w:t>收入支出</w:t>
      </w:r>
      <w:r>
        <w:rPr>
          <w:rFonts w:hint="eastAsia" w:ascii="Times New Roman" w:hAnsi="Times New Roman" w:eastAsia="仿宋_GB2312" w:cs="Times New Roman"/>
          <w:color w:val="auto"/>
          <w:sz w:val="32"/>
          <w:szCs w:val="32"/>
          <w:highlight w:val="none"/>
          <w:lang w:val="zh-CN" w:eastAsia="zh-CN"/>
        </w:rPr>
        <w:t>与上年相比，增加46.63万元，增长16</w:t>
      </w:r>
      <w:r>
        <w:rPr>
          <w:rFonts w:hint="eastAsia" w:eastAsia="仿宋_GB2312" w:cs="Times New Roman"/>
          <w:color w:val="auto"/>
          <w:sz w:val="32"/>
          <w:szCs w:val="32"/>
          <w:highlight w:val="none"/>
          <w:lang w:val="en-US" w:eastAsia="zh-CN"/>
        </w:rPr>
        <w:t>1.02</w:t>
      </w:r>
      <w:r>
        <w:rPr>
          <w:rFonts w:hint="eastAsia" w:ascii="Times New Roman" w:hAnsi="Times New Roman" w:eastAsia="仿宋_GB2312" w:cs="Times New Roman"/>
          <w:color w:val="auto"/>
          <w:sz w:val="32"/>
          <w:szCs w:val="32"/>
          <w:highlight w:val="none"/>
          <w:lang w:val="zh-CN" w:eastAsia="zh-CN"/>
        </w:rPr>
        <w:t>%，主要原因是：</w:t>
      </w:r>
      <w:r>
        <w:rPr>
          <w:rFonts w:hint="eastAsia" w:eastAsia="仿宋_GB2312" w:cs="Times New Roman"/>
          <w:color w:val="auto"/>
          <w:sz w:val="32"/>
          <w:szCs w:val="32"/>
          <w:highlight w:val="none"/>
          <w:lang w:val="en-US" w:eastAsia="zh-CN"/>
        </w:rPr>
        <w:t>上年度支出水电三处退休人员冬季采暖费28.96万元，本年度新增支出国有企业退休人员相关活动阵地运转等费用，相关支出增加</w:t>
      </w:r>
      <w:r>
        <w:rPr>
          <w:rFonts w:hint="eastAsia" w:ascii="Times New Roman" w:hAnsi="Times New Roman" w:eastAsia="仿宋_GB2312" w:cs="Times New Roman"/>
          <w:color w:val="auto"/>
          <w:sz w:val="32"/>
          <w:szCs w:val="32"/>
          <w:highlight w:val="none"/>
          <w:lang w:val="zh-CN" w:eastAsia="zh-CN"/>
        </w:rPr>
        <w:t>。与年初预算相比，年初预算数</w:t>
      </w:r>
      <w:r>
        <w:rPr>
          <w:rFonts w:hint="eastAsia" w:ascii="Times New Roman" w:hAnsi="Times New Roman" w:eastAsia="仿宋_GB2312" w:cs="Times New Roman"/>
          <w:color w:val="auto"/>
          <w:sz w:val="32"/>
          <w:szCs w:val="32"/>
          <w:highlight w:val="none"/>
          <w:lang w:val="en-US" w:eastAsia="zh-CN"/>
        </w:rPr>
        <w:t>24.62</w:t>
      </w:r>
      <w:r>
        <w:rPr>
          <w:rFonts w:hint="eastAsia" w:ascii="Times New Roman" w:hAnsi="Times New Roman" w:eastAsia="仿宋_GB2312" w:cs="Times New Roman"/>
          <w:color w:val="auto"/>
          <w:sz w:val="32"/>
          <w:szCs w:val="32"/>
          <w:highlight w:val="none"/>
          <w:lang w:val="zh-CN" w:eastAsia="zh-CN"/>
        </w:rPr>
        <w:t>万元，决算数</w:t>
      </w:r>
      <w:r>
        <w:rPr>
          <w:rFonts w:hint="eastAsia" w:ascii="Times New Roman" w:hAnsi="Times New Roman" w:eastAsia="仿宋_GB2312" w:cs="Times New Roman"/>
          <w:color w:val="auto"/>
          <w:sz w:val="32"/>
          <w:szCs w:val="32"/>
          <w:highlight w:val="none"/>
          <w:lang w:val="en-US" w:eastAsia="zh-CN"/>
        </w:rPr>
        <w:t>75.59</w:t>
      </w:r>
      <w:r>
        <w:rPr>
          <w:rFonts w:hint="eastAsia" w:ascii="Times New Roman" w:hAnsi="Times New Roman" w:eastAsia="仿宋_GB2312" w:cs="Times New Roman"/>
          <w:color w:val="auto"/>
          <w:sz w:val="32"/>
          <w:szCs w:val="32"/>
          <w:highlight w:val="none"/>
          <w:lang w:val="zh-CN" w:eastAsia="zh-CN"/>
        </w:rPr>
        <w:t>万元，预决算差异率207.0</w:t>
      </w:r>
      <w:r>
        <w:rPr>
          <w:rFonts w:hint="eastAsia"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val="zh-CN" w:eastAsia="zh-CN"/>
        </w:rPr>
        <w:t>%，主要原因是：</w:t>
      </w:r>
      <w:r>
        <w:rPr>
          <w:rFonts w:hint="eastAsia" w:eastAsia="仿宋_GB2312" w:cs="Times New Roman"/>
          <w:color w:val="auto"/>
          <w:sz w:val="32"/>
          <w:szCs w:val="32"/>
          <w:highlight w:val="none"/>
          <w:lang w:val="en-US" w:eastAsia="zh-CN"/>
        </w:rPr>
        <w:t>本年度新增支出国有企业退休人员相关活动阵地运转等费用，相关支出增加</w:t>
      </w:r>
      <w:r>
        <w:rPr>
          <w:rFonts w:hint="eastAsia" w:ascii="Times New Roman" w:hAnsi="Times New Roman" w:eastAsia="仿宋_GB2312" w:cs="Times New Roman"/>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Times New Roman" w:hAnsi="Times New Roman" w:eastAsia="仿宋_GB2312" w:cs="Times New Roman"/>
          <w:color w:val="auto"/>
          <w:sz w:val="32"/>
          <w:szCs w:val="32"/>
          <w:highlight w:val="none"/>
          <w:lang w:val="zh-CN" w:eastAsia="zh-CN"/>
        </w:rPr>
        <w:t>国有资本经营预算财政拨款支出</w:t>
      </w:r>
      <w:r>
        <w:rPr>
          <w:rFonts w:hint="eastAsia" w:ascii="Times New Roman" w:hAnsi="Times New Roman" w:eastAsia="仿宋_GB2312" w:cs="Times New Roman"/>
          <w:color w:val="auto"/>
          <w:sz w:val="32"/>
          <w:szCs w:val="32"/>
          <w:highlight w:val="none"/>
          <w:lang w:val="en-US" w:eastAsia="zh-CN"/>
        </w:rPr>
        <w:t>75.59</w:t>
      </w:r>
      <w:r>
        <w:rPr>
          <w:rFonts w:hint="eastAsia" w:ascii="Times New Roman" w:hAnsi="Times New Roman" w:eastAsia="仿宋_GB2312" w:cs="Times New Roman"/>
          <w:color w:val="auto"/>
          <w:sz w:val="32"/>
          <w:szCs w:val="32"/>
          <w:highlight w:val="none"/>
          <w:lang w:val="zh-CN" w:eastAsia="zh-CN"/>
        </w:rPr>
        <w:t>万元。</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1.国有资本经营预算支出（类）解决历史遗留问题及改革成本支出（款）国有企业退休人员社会化管理补助支出（项）:</w:t>
      </w:r>
      <w:r>
        <w:rPr>
          <w:rFonts w:hint="eastAsia" w:eastAsia="仿宋_GB2312" w:cs="Times New Roman"/>
          <w:color w:val="auto"/>
          <w:sz w:val="32"/>
          <w:szCs w:val="32"/>
          <w:highlight w:val="none"/>
          <w:lang w:val="en-US" w:eastAsia="zh-CN"/>
        </w:rPr>
        <w:t>支出决算数为75.59万元，比上年决算增加46.63万元，增长161.02%</w:t>
      </w:r>
      <w:r>
        <w:rPr>
          <w:rFonts w:hint="eastAsia" w:ascii="仿宋_GB2312" w:hAnsi="仿宋_GB2312" w:eastAsia="仿宋_GB2312" w:cs="仿宋_GB2312"/>
          <w:color w:val="auto"/>
          <w:kern w:val="0"/>
          <w:sz w:val="32"/>
          <w:szCs w:val="32"/>
          <w:highlight w:val="none"/>
        </w:rPr>
        <w:t>，主要原因是：</w:t>
      </w:r>
      <w:r>
        <w:rPr>
          <w:rFonts w:hint="eastAsia" w:eastAsia="仿宋_GB2312" w:cs="Times New Roman"/>
          <w:color w:val="auto"/>
          <w:sz w:val="32"/>
          <w:szCs w:val="32"/>
          <w:highlight w:val="none"/>
          <w:lang w:val="en-US" w:eastAsia="zh-CN"/>
        </w:rPr>
        <w:t>本年度新增支出国有企业退休人员相关活动阵地运转等费用，相关支出增加</w:t>
      </w:r>
      <w:r>
        <w:rPr>
          <w:rFonts w:hint="eastAsia" w:ascii="Times New Roman" w:hAnsi="Times New Roman" w:eastAsia="仿宋_GB2312" w:cs="Times New Roman"/>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库尔勒市天山街道办事处（行政单位和参照公务员法管理事业单位）机关运行经费支出104.38万元，比上年减少164.07万元，下降61.12%，主要原因是：</w:t>
      </w:r>
      <w:r>
        <w:rPr>
          <w:rFonts w:hint="eastAsia" w:eastAsia="仿宋_GB2312" w:cs="Times New Roman"/>
          <w:color w:val="auto"/>
          <w:sz w:val="32"/>
          <w:szCs w:val="32"/>
          <w:highlight w:val="none"/>
          <w:lang w:val="en-US" w:eastAsia="zh-CN"/>
        </w:rPr>
        <w:t>因2022年下半年疫情原因，支付疫情物资费用及疫情期间食堂经费，保障运转支出增加，</w:t>
      </w:r>
      <w:r>
        <w:rPr>
          <w:rFonts w:hint="eastAsia" w:ascii="Times New Roman" w:hAnsi="Times New Roman" w:eastAsia="方正仿宋_GBK" w:cs="Times New Roman"/>
          <w:bCs/>
          <w:kern w:val="0"/>
          <w:sz w:val="31"/>
          <w:szCs w:val="31"/>
          <w:highlight w:val="none"/>
          <w:lang w:val="en-US" w:eastAsia="zh-CN" w:bidi="ar-SA"/>
        </w:rPr>
        <w:t>本年度机关运行经费支出比上年下降。</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73.50万元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其中：政府采购货物支出14.12万元、政府采购工程支出50.43万元、政府采购服务支出8.95万元。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授予中小企业合同金额73.50万元，占政府采购支出总额的100.00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，其中：授予小微企业合同金额68.41万元，占政府采购支出总额的93.07</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3,120.57</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屋9885.59平方米，价值2,131.89万元。车辆11辆，价值104.31万元，其中：副部（省）级及以上领导用车0辆、主要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用车0辆、其他用车11辆，其他用车主要是：</w:t>
      </w:r>
      <w:r>
        <w:rPr>
          <w:rFonts w:hint="eastAsia" w:eastAsia="仿宋_GB2312" w:cs="Times New Roman"/>
          <w:color w:val="auto"/>
          <w:sz w:val="32"/>
          <w:szCs w:val="32"/>
          <w:highlight w:val="none"/>
          <w:lang w:val="en-US" w:eastAsia="zh-CN"/>
        </w:rPr>
        <w:t>警车1辆、巡逻车1辆、面包车2辆，轿车7辆</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kern w:val="0"/>
          <w:sz w:val="32"/>
          <w:szCs w:val="32"/>
          <w:highlight w:val="none"/>
          <w:lang w:val="en-US"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预算总额2429.20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实际执行总额2429.20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9</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全年预算数238.74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全年执行数210.60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hint="default" w:ascii="Times New Roman" w:hAnsi="Times New Roman" w:eastAsia="仿宋_GB2312" w:cs="Times New Roman"/>
          <w:color w:val="auto"/>
          <w:kern w:val="0"/>
          <w:sz w:val="32"/>
          <w:szCs w:val="32"/>
          <w:highlight w:val="none"/>
          <w:lang w:val="en-US" w:eastAsia="zh-CN"/>
        </w:rPr>
        <w:t>一是各项资金的有效使用，对改善基层设施条件，加快构建现代化服务体系，为居民提供良好的生活环境，更好的长期开展基层综合治理工作起到了关键作用；二是为民办好事、办实事，提升了居民满意度。发现的问题及原因：一是项目资金执行率存在加强与上升空间，需要有关部门加强工作效率，在重点工作的完成率和完成度上都需要进一步提升。二是项目资金执行力度需进一步加强。下一步改进措施：一是细化预算编制工作，严格按照预算编制的相关制度和要求做好预算的编制，进一步加强预算管理意识；全面编制预算项目，优先保障固定的、相对刚性的费用支出项目，尽量压缩变动的、有控制空间的费用项目，进一步提高预算编制的科学性、严谨性和可控性；二是加强财务管理，严格财务审批。在费用保障支付时，按照预算规定的费用项目和用途进行资金使用、审</w:t>
      </w:r>
      <w:bookmarkStart w:id="48" w:name="_GoBack"/>
      <w:bookmarkEnd w:id="48"/>
      <w:r>
        <w:rPr>
          <w:rFonts w:hint="default" w:ascii="Times New Roman" w:hAnsi="Times New Roman" w:eastAsia="仿宋_GB2312" w:cs="Times New Roman"/>
          <w:color w:val="auto"/>
          <w:kern w:val="0"/>
          <w:sz w:val="32"/>
          <w:szCs w:val="32"/>
          <w:highlight w:val="none"/>
          <w:lang w:val="en-US" w:eastAsia="zh-CN"/>
        </w:rPr>
        <w:t>核、列报支付，财务核算杜绝超预算支付的发生。三是加强项目实时监控，严格按照相关要求对相关项目的资金进行使用，确保资金专款专用及时有效。</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具体项目自评情况附绩效自评表及自评报告。</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本部门无其他需说明事项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rPr>
          <w:rFonts w:hint="eastAsia" w:ascii="黑体" w:hAnsi="黑体" w:eastAsia="仿宋_GB2312" w:cs="宋体"/>
          <w:bCs/>
          <w:color w:val="auto"/>
          <w:kern w:val="0"/>
          <w:sz w:val="32"/>
          <w:szCs w:val="32"/>
          <w:highlight w:val="none"/>
        </w:rPr>
      </w:pPr>
    </w:p>
    <w:p>
      <w:pPr>
        <w:rPr>
          <w:rFonts w:hint="eastAsia" w:ascii="黑体" w:hAnsi="黑体" w:eastAsia="仿宋_GB2312" w:cs="宋体"/>
          <w:bCs/>
          <w:color w:val="auto"/>
          <w:kern w:val="0"/>
          <w:sz w:val="32"/>
          <w:szCs w:val="32"/>
          <w:highlight w:val="none"/>
        </w:rPr>
      </w:pPr>
    </w:p>
    <w:p>
      <w:pPr>
        <w:rPr>
          <w:rFonts w:hint="eastAsia" w:ascii="黑体" w:hAnsi="黑体" w:eastAsia="仿宋_GB2312" w:cs="宋体"/>
          <w:bCs/>
          <w:color w:val="auto"/>
          <w:kern w:val="0"/>
          <w:sz w:val="32"/>
          <w:szCs w:val="32"/>
          <w:highlight w:val="none"/>
        </w:rPr>
      </w:pPr>
    </w:p>
    <w:p>
      <w:pPr>
        <w:rPr>
          <w:rFonts w:hint="eastAsia" w:ascii="黑体" w:hAnsi="黑体" w:eastAsia="仿宋_GB2312" w:cs="宋体"/>
          <w:bCs/>
          <w:color w:val="auto"/>
          <w:kern w:val="0"/>
          <w:sz w:val="32"/>
          <w:szCs w:val="32"/>
          <w:highlight w:val="none"/>
        </w:rPr>
      </w:pPr>
    </w:p>
    <w:p>
      <w:pPr>
        <w:rPr>
          <w:rFonts w:hint="eastAsia" w:ascii="黑体" w:hAnsi="黑体" w:eastAsia="仿宋_GB2312" w:cs="宋体"/>
          <w:bCs/>
          <w:color w:val="auto"/>
          <w:kern w:val="0"/>
          <w:sz w:val="32"/>
          <w:szCs w:val="32"/>
          <w:highlight w:val="none"/>
        </w:rPr>
      </w:pPr>
    </w:p>
    <w:p>
      <w:pPr>
        <w:rPr>
          <w:rFonts w:hint="eastAsia" w:ascii="黑体" w:hAnsi="黑体" w:eastAsia="仿宋_GB2312" w:cs="宋体"/>
          <w:bCs/>
          <w:color w:val="auto"/>
          <w:kern w:val="0"/>
          <w:sz w:val="32"/>
          <w:szCs w:val="32"/>
          <w:highlight w:val="none"/>
        </w:rPr>
      </w:pPr>
    </w:p>
    <w:p>
      <w:pPr>
        <w:rPr>
          <w:rFonts w:hint="eastAsia" w:ascii="黑体" w:hAnsi="黑体" w:eastAsia="仿宋_GB2312" w:cs="宋体"/>
          <w:bCs/>
          <w:color w:val="auto"/>
          <w:kern w:val="0"/>
          <w:sz w:val="32"/>
          <w:szCs w:val="32"/>
          <w:highlight w:val="none"/>
        </w:rPr>
      </w:pPr>
    </w:p>
    <w:p>
      <w:pPr>
        <w:rPr>
          <w:rFonts w:hint="eastAsia" w:ascii="黑体" w:hAnsi="黑体" w:eastAsia="仿宋_GB2312" w:cs="宋体"/>
          <w:bCs/>
          <w:color w:val="auto"/>
          <w:kern w:val="0"/>
          <w:sz w:val="32"/>
          <w:szCs w:val="32"/>
          <w:highlight w:val="none"/>
        </w:rPr>
      </w:pPr>
    </w:p>
    <w:p>
      <w:pPr>
        <w:rPr>
          <w:rFonts w:hint="eastAsia" w:ascii="黑体" w:hAnsi="黑体" w:eastAsia="仿宋_GB2312" w:cs="宋体"/>
          <w:bCs/>
          <w:color w:val="auto"/>
          <w:kern w:val="0"/>
          <w:sz w:val="32"/>
          <w:szCs w:val="32"/>
          <w:highlight w:val="none"/>
        </w:rPr>
      </w:pPr>
    </w:p>
    <w:p>
      <w:pPr>
        <w:rPr>
          <w:rFonts w:hint="eastAsia" w:ascii="黑体" w:hAnsi="黑体" w:eastAsia="仿宋_GB2312" w:cs="宋体"/>
          <w:bCs/>
          <w:color w:val="auto"/>
          <w:kern w:val="0"/>
          <w:sz w:val="32"/>
          <w:szCs w:val="32"/>
          <w:highlight w:val="none"/>
        </w:rPr>
      </w:pPr>
    </w:p>
    <w:p>
      <w:pPr>
        <w:rPr>
          <w:rFonts w:hint="eastAsia" w:ascii="黑体" w:hAnsi="黑体" w:eastAsia="仿宋_GB2312" w:cs="宋体"/>
          <w:bCs/>
          <w:color w:val="auto"/>
          <w:kern w:val="0"/>
          <w:sz w:val="32"/>
          <w:szCs w:val="32"/>
          <w:highlight w:val="none"/>
        </w:rPr>
      </w:pPr>
    </w:p>
    <w:p>
      <w:pPr>
        <w:rPr>
          <w:rFonts w:hint="eastAsia" w:ascii="黑体" w:hAnsi="黑体" w:eastAsia="仿宋_GB2312" w:cs="宋体"/>
          <w:bCs/>
          <w:color w:val="auto"/>
          <w:kern w:val="0"/>
          <w:sz w:val="32"/>
          <w:szCs w:val="32"/>
          <w:highlight w:val="none"/>
        </w:rPr>
      </w:pPr>
    </w:p>
    <w:p>
      <w:pPr>
        <w:rPr>
          <w:rFonts w:hint="eastAsia" w:ascii="黑体" w:hAnsi="黑体" w:eastAsia="仿宋_GB2312" w:cs="宋体"/>
          <w:bCs/>
          <w:color w:val="auto"/>
          <w:kern w:val="0"/>
          <w:sz w:val="32"/>
          <w:szCs w:val="32"/>
          <w:highlight w:val="none"/>
        </w:rPr>
      </w:pPr>
      <w:r>
        <w:drawing>
          <wp:inline distT="0" distB="0" distL="114300" distR="114300">
            <wp:extent cx="5273675" cy="5595620"/>
            <wp:effectExtent l="0" t="0" r="3175" b="508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5"/>
                    <a:stretch>
                      <a:fillRect/>
                    </a:stretch>
                  </pic:blipFill>
                  <pic:spPr>
                    <a:xfrm>
                      <a:off x="0" y="0"/>
                      <a:ext cx="5273675" cy="5595620"/>
                    </a:xfrm>
                    <a:prstGeom prst="rect">
                      <a:avLst/>
                    </a:prstGeom>
                    <a:noFill/>
                    <a:ln>
                      <a:noFill/>
                    </a:ln>
                  </pic:spPr>
                </pic:pic>
              </a:graphicData>
            </a:graphic>
          </wp:inline>
        </w:drawing>
      </w:r>
    </w:p>
    <w:p>
      <w:pPr>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r>
        <w:drawing>
          <wp:inline distT="0" distB="0" distL="114300" distR="114300">
            <wp:extent cx="5273040" cy="5444490"/>
            <wp:effectExtent l="0" t="0" r="3810" b="381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6"/>
                    <a:stretch>
                      <a:fillRect/>
                    </a:stretch>
                  </pic:blipFill>
                  <pic:spPr>
                    <a:xfrm>
                      <a:off x="0" y="0"/>
                      <a:ext cx="5273040" cy="544449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r>
        <w:drawing>
          <wp:inline distT="0" distB="0" distL="114300" distR="114300">
            <wp:extent cx="5270500" cy="6099175"/>
            <wp:effectExtent l="0" t="0" r="6350" b="1587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7"/>
                    <a:stretch>
                      <a:fillRect/>
                    </a:stretch>
                  </pic:blipFill>
                  <pic:spPr>
                    <a:xfrm>
                      <a:off x="0" y="0"/>
                      <a:ext cx="5270500" cy="609917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r>
        <w:drawing>
          <wp:inline distT="0" distB="0" distL="114300" distR="114300">
            <wp:extent cx="5267325" cy="4024630"/>
            <wp:effectExtent l="0" t="0" r="9525" b="1397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8"/>
                    <a:stretch>
                      <a:fillRect/>
                    </a:stretch>
                  </pic:blipFill>
                  <pic:spPr>
                    <a:xfrm>
                      <a:off x="0" y="0"/>
                      <a:ext cx="5267325" cy="402463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r>
        <w:drawing>
          <wp:inline distT="0" distB="0" distL="114300" distR="114300">
            <wp:extent cx="5272405" cy="8361045"/>
            <wp:effectExtent l="0" t="0" r="4445" b="1905"/>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9"/>
                    <a:stretch>
                      <a:fillRect/>
                    </a:stretch>
                  </pic:blipFill>
                  <pic:spPr>
                    <a:xfrm>
                      <a:off x="0" y="0"/>
                      <a:ext cx="5272405" cy="836104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r>
        <w:drawing>
          <wp:inline distT="0" distB="0" distL="114300" distR="114300">
            <wp:extent cx="5269230" cy="6200140"/>
            <wp:effectExtent l="0" t="0" r="7620" b="1016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5269230" cy="620014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r>
        <w:drawing>
          <wp:inline distT="0" distB="0" distL="114300" distR="114300">
            <wp:extent cx="5272405" cy="1482725"/>
            <wp:effectExtent l="0" t="0" r="4445" b="3175"/>
            <wp:docPr id="1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pic:cNvPicPr>
                      <a:picLocks noChangeAspect="1"/>
                    </pic:cNvPicPr>
                  </pic:nvPicPr>
                  <pic:blipFill>
                    <a:blip r:embed="rId11"/>
                    <a:stretch>
                      <a:fillRect/>
                    </a:stretch>
                  </pic:blipFill>
                  <pic:spPr>
                    <a:xfrm>
                      <a:off x="0" y="0"/>
                      <a:ext cx="5272405" cy="148272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r>
        <w:drawing>
          <wp:inline distT="0" distB="0" distL="114300" distR="114300">
            <wp:extent cx="5273675" cy="2049145"/>
            <wp:effectExtent l="0" t="0" r="3175" b="8255"/>
            <wp:docPr id="1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pic:cNvPicPr>
                      <a:picLocks noChangeAspect="1"/>
                    </pic:cNvPicPr>
                  </pic:nvPicPr>
                  <pic:blipFill>
                    <a:blip r:embed="rId12"/>
                    <a:stretch>
                      <a:fillRect/>
                    </a:stretch>
                  </pic:blipFill>
                  <pic:spPr>
                    <a:xfrm>
                      <a:off x="0" y="0"/>
                      <a:ext cx="5273675" cy="204914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r>
        <w:drawing>
          <wp:inline distT="0" distB="0" distL="114300" distR="114300">
            <wp:extent cx="5271135" cy="2426970"/>
            <wp:effectExtent l="0" t="0" r="5715" b="11430"/>
            <wp:docPr id="1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pic:cNvPicPr>
                      <a:picLocks noChangeAspect="1"/>
                    </pic:cNvPicPr>
                  </pic:nvPicPr>
                  <pic:blipFill>
                    <a:blip r:embed="rId13"/>
                    <a:stretch>
                      <a:fillRect/>
                    </a:stretch>
                  </pic:blipFill>
                  <pic:spPr>
                    <a:xfrm>
                      <a:off x="0" y="0"/>
                      <a:ext cx="5271135" cy="242697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0F6D9C"/>
    <w:rsid w:val="019404F8"/>
    <w:rsid w:val="02014578"/>
    <w:rsid w:val="026732FD"/>
    <w:rsid w:val="02BD3108"/>
    <w:rsid w:val="02F73D26"/>
    <w:rsid w:val="034D4FEF"/>
    <w:rsid w:val="035D1785"/>
    <w:rsid w:val="039F47CE"/>
    <w:rsid w:val="03A2383E"/>
    <w:rsid w:val="03D26117"/>
    <w:rsid w:val="03E05CE8"/>
    <w:rsid w:val="03F973EE"/>
    <w:rsid w:val="043E5B56"/>
    <w:rsid w:val="04C04386"/>
    <w:rsid w:val="04D42207"/>
    <w:rsid w:val="04FA68C4"/>
    <w:rsid w:val="053F5AE6"/>
    <w:rsid w:val="05544325"/>
    <w:rsid w:val="057C0B0F"/>
    <w:rsid w:val="05B92847"/>
    <w:rsid w:val="05EF4B48"/>
    <w:rsid w:val="05F76ECA"/>
    <w:rsid w:val="06792773"/>
    <w:rsid w:val="0684229E"/>
    <w:rsid w:val="07093795"/>
    <w:rsid w:val="07804730"/>
    <w:rsid w:val="079052BE"/>
    <w:rsid w:val="08145C21"/>
    <w:rsid w:val="08422688"/>
    <w:rsid w:val="085854ED"/>
    <w:rsid w:val="0879188F"/>
    <w:rsid w:val="089D4491"/>
    <w:rsid w:val="08A0354D"/>
    <w:rsid w:val="08CD4C49"/>
    <w:rsid w:val="090F5AB1"/>
    <w:rsid w:val="09114954"/>
    <w:rsid w:val="095A5B83"/>
    <w:rsid w:val="096466E3"/>
    <w:rsid w:val="0968304D"/>
    <w:rsid w:val="09AF3D17"/>
    <w:rsid w:val="0A5A2480"/>
    <w:rsid w:val="0A635947"/>
    <w:rsid w:val="0A7809B7"/>
    <w:rsid w:val="0A7B4867"/>
    <w:rsid w:val="0A840954"/>
    <w:rsid w:val="0A9928ED"/>
    <w:rsid w:val="0AD41A6F"/>
    <w:rsid w:val="0B61769D"/>
    <w:rsid w:val="0B6F19D0"/>
    <w:rsid w:val="0B8C3ECC"/>
    <w:rsid w:val="0B9C639D"/>
    <w:rsid w:val="0BB052B2"/>
    <w:rsid w:val="0BD33FFC"/>
    <w:rsid w:val="0BE97AC1"/>
    <w:rsid w:val="0C1C4780"/>
    <w:rsid w:val="0C3613A3"/>
    <w:rsid w:val="0C5E519C"/>
    <w:rsid w:val="0C7227A7"/>
    <w:rsid w:val="0CA52EE8"/>
    <w:rsid w:val="0CBD6988"/>
    <w:rsid w:val="0CD208AC"/>
    <w:rsid w:val="0D4903E8"/>
    <w:rsid w:val="0D7A4A46"/>
    <w:rsid w:val="0DE42B85"/>
    <w:rsid w:val="0E640559"/>
    <w:rsid w:val="0F1113DA"/>
    <w:rsid w:val="0F78534A"/>
    <w:rsid w:val="0F89358A"/>
    <w:rsid w:val="0F8C6D51"/>
    <w:rsid w:val="102500C2"/>
    <w:rsid w:val="105B0B5E"/>
    <w:rsid w:val="112E58D0"/>
    <w:rsid w:val="11731CAC"/>
    <w:rsid w:val="119500A0"/>
    <w:rsid w:val="11C0733B"/>
    <w:rsid w:val="11D50D17"/>
    <w:rsid w:val="120E0809"/>
    <w:rsid w:val="127F665A"/>
    <w:rsid w:val="12F7068C"/>
    <w:rsid w:val="14207DC0"/>
    <w:rsid w:val="14353B7B"/>
    <w:rsid w:val="1494347F"/>
    <w:rsid w:val="14B932DA"/>
    <w:rsid w:val="14FE3BF7"/>
    <w:rsid w:val="150A66AF"/>
    <w:rsid w:val="152B69BD"/>
    <w:rsid w:val="154C1139"/>
    <w:rsid w:val="157D350B"/>
    <w:rsid w:val="158C5B77"/>
    <w:rsid w:val="159A6299"/>
    <w:rsid w:val="160D1149"/>
    <w:rsid w:val="163563C0"/>
    <w:rsid w:val="16404175"/>
    <w:rsid w:val="164315EF"/>
    <w:rsid w:val="16557DFE"/>
    <w:rsid w:val="167268FB"/>
    <w:rsid w:val="16D50C50"/>
    <w:rsid w:val="16E120E1"/>
    <w:rsid w:val="17385A05"/>
    <w:rsid w:val="173B3901"/>
    <w:rsid w:val="17571455"/>
    <w:rsid w:val="176747F9"/>
    <w:rsid w:val="17954A6E"/>
    <w:rsid w:val="179710BA"/>
    <w:rsid w:val="17B018E1"/>
    <w:rsid w:val="180059E9"/>
    <w:rsid w:val="184510FD"/>
    <w:rsid w:val="18FC4401"/>
    <w:rsid w:val="190648B0"/>
    <w:rsid w:val="19071D6C"/>
    <w:rsid w:val="19983FE6"/>
    <w:rsid w:val="19D26CD4"/>
    <w:rsid w:val="19E60D19"/>
    <w:rsid w:val="1A3E3450"/>
    <w:rsid w:val="1AD807E5"/>
    <w:rsid w:val="1B39345B"/>
    <w:rsid w:val="1BFB2A1F"/>
    <w:rsid w:val="1C015D4A"/>
    <w:rsid w:val="1C290ED5"/>
    <w:rsid w:val="1C317E4F"/>
    <w:rsid w:val="1C3F0456"/>
    <w:rsid w:val="1C472464"/>
    <w:rsid w:val="1D22799A"/>
    <w:rsid w:val="1D5C1A72"/>
    <w:rsid w:val="1DAF458D"/>
    <w:rsid w:val="1E086ACE"/>
    <w:rsid w:val="1E62130A"/>
    <w:rsid w:val="1E7E3DA4"/>
    <w:rsid w:val="1E97358B"/>
    <w:rsid w:val="1EAA4A5F"/>
    <w:rsid w:val="1EE869A7"/>
    <w:rsid w:val="1F625F43"/>
    <w:rsid w:val="1FA15E62"/>
    <w:rsid w:val="1FED69B6"/>
    <w:rsid w:val="1FFC78F6"/>
    <w:rsid w:val="20293B47"/>
    <w:rsid w:val="20483264"/>
    <w:rsid w:val="2064678E"/>
    <w:rsid w:val="20DC1AB9"/>
    <w:rsid w:val="20DD6197"/>
    <w:rsid w:val="212631E0"/>
    <w:rsid w:val="21A53757"/>
    <w:rsid w:val="21E44E8A"/>
    <w:rsid w:val="221236C6"/>
    <w:rsid w:val="22414CDF"/>
    <w:rsid w:val="22D7662C"/>
    <w:rsid w:val="23326B7F"/>
    <w:rsid w:val="2380045B"/>
    <w:rsid w:val="23BC04D2"/>
    <w:rsid w:val="23EF1892"/>
    <w:rsid w:val="2483647E"/>
    <w:rsid w:val="24A32D55"/>
    <w:rsid w:val="252553A3"/>
    <w:rsid w:val="25292727"/>
    <w:rsid w:val="252E5CA9"/>
    <w:rsid w:val="256F7692"/>
    <w:rsid w:val="259B6D55"/>
    <w:rsid w:val="25B45F92"/>
    <w:rsid w:val="25BA2154"/>
    <w:rsid w:val="25BE15E6"/>
    <w:rsid w:val="25C8773F"/>
    <w:rsid w:val="264A7253"/>
    <w:rsid w:val="26F0170C"/>
    <w:rsid w:val="27201D62"/>
    <w:rsid w:val="27286E73"/>
    <w:rsid w:val="279F605C"/>
    <w:rsid w:val="27CF2642"/>
    <w:rsid w:val="27E777F5"/>
    <w:rsid w:val="27EA1D4C"/>
    <w:rsid w:val="27EA2E41"/>
    <w:rsid w:val="280C7412"/>
    <w:rsid w:val="282459E2"/>
    <w:rsid w:val="283A7FE5"/>
    <w:rsid w:val="284A6D25"/>
    <w:rsid w:val="285F51FF"/>
    <w:rsid w:val="28DF2665"/>
    <w:rsid w:val="29072599"/>
    <w:rsid w:val="291029F3"/>
    <w:rsid w:val="29AB535E"/>
    <w:rsid w:val="29CB58F0"/>
    <w:rsid w:val="2A053397"/>
    <w:rsid w:val="2A145E96"/>
    <w:rsid w:val="2AF5378F"/>
    <w:rsid w:val="2B2D3BE1"/>
    <w:rsid w:val="2B3E4FC0"/>
    <w:rsid w:val="2BB94DBF"/>
    <w:rsid w:val="2C6F314E"/>
    <w:rsid w:val="2CC206BE"/>
    <w:rsid w:val="2CDF15A1"/>
    <w:rsid w:val="2D1136DF"/>
    <w:rsid w:val="2D20606D"/>
    <w:rsid w:val="2DB87198"/>
    <w:rsid w:val="2DB93C54"/>
    <w:rsid w:val="2DC35886"/>
    <w:rsid w:val="2DC54A4C"/>
    <w:rsid w:val="2E3D144C"/>
    <w:rsid w:val="2E891204"/>
    <w:rsid w:val="2F3F0A28"/>
    <w:rsid w:val="2F616CE5"/>
    <w:rsid w:val="2FBF7029"/>
    <w:rsid w:val="2FD0187F"/>
    <w:rsid w:val="2FD27414"/>
    <w:rsid w:val="2FFA068B"/>
    <w:rsid w:val="2FFE4BB0"/>
    <w:rsid w:val="300E7B60"/>
    <w:rsid w:val="300F6E18"/>
    <w:rsid w:val="301E79E0"/>
    <w:rsid w:val="30862F5F"/>
    <w:rsid w:val="309141F0"/>
    <w:rsid w:val="314029C9"/>
    <w:rsid w:val="31C63837"/>
    <w:rsid w:val="31C82E39"/>
    <w:rsid w:val="31F549D2"/>
    <w:rsid w:val="32601BAD"/>
    <w:rsid w:val="329F6389"/>
    <w:rsid w:val="337C3103"/>
    <w:rsid w:val="3389023A"/>
    <w:rsid w:val="33CB74FA"/>
    <w:rsid w:val="343642F2"/>
    <w:rsid w:val="343F3010"/>
    <w:rsid w:val="345D0A00"/>
    <w:rsid w:val="3465185A"/>
    <w:rsid w:val="34713BFD"/>
    <w:rsid w:val="34B82044"/>
    <w:rsid w:val="34C13589"/>
    <w:rsid w:val="35082D02"/>
    <w:rsid w:val="353369E3"/>
    <w:rsid w:val="35617977"/>
    <w:rsid w:val="35E00D72"/>
    <w:rsid w:val="3676777F"/>
    <w:rsid w:val="36965B9D"/>
    <w:rsid w:val="36C549FD"/>
    <w:rsid w:val="37A755DD"/>
    <w:rsid w:val="37F94FA0"/>
    <w:rsid w:val="380D3381"/>
    <w:rsid w:val="38115B1F"/>
    <w:rsid w:val="385E3AC3"/>
    <w:rsid w:val="387A35FB"/>
    <w:rsid w:val="387D6B9E"/>
    <w:rsid w:val="389301EA"/>
    <w:rsid w:val="38B75FF0"/>
    <w:rsid w:val="38D45016"/>
    <w:rsid w:val="38D90432"/>
    <w:rsid w:val="3914510A"/>
    <w:rsid w:val="3926770B"/>
    <w:rsid w:val="392E547C"/>
    <w:rsid w:val="398D3668"/>
    <w:rsid w:val="39AB5923"/>
    <w:rsid w:val="39DA0497"/>
    <w:rsid w:val="3A893816"/>
    <w:rsid w:val="3A893B6D"/>
    <w:rsid w:val="3AA37848"/>
    <w:rsid w:val="3AA80F78"/>
    <w:rsid w:val="3AD1763A"/>
    <w:rsid w:val="3B6716E3"/>
    <w:rsid w:val="3B6C6B2D"/>
    <w:rsid w:val="3C242659"/>
    <w:rsid w:val="3C96719C"/>
    <w:rsid w:val="3CA72BE8"/>
    <w:rsid w:val="3CF37F8C"/>
    <w:rsid w:val="3CFA7435"/>
    <w:rsid w:val="3CFF5E53"/>
    <w:rsid w:val="3D137554"/>
    <w:rsid w:val="3D422325"/>
    <w:rsid w:val="3D5275AC"/>
    <w:rsid w:val="3D994926"/>
    <w:rsid w:val="3DB219C6"/>
    <w:rsid w:val="3DCC2473"/>
    <w:rsid w:val="3DE467EC"/>
    <w:rsid w:val="3DEB0883"/>
    <w:rsid w:val="3E2527BF"/>
    <w:rsid w:val="3E5F3468"/>
    <w:rsid w:val="3E731662"/>
    <w:rsid w:val="3E8168DD"/>
    <w:rsid w:val="3EA7725F"/>
    <w:rsid w:val="3EB03713"/>
    <w:rsid w:val="3EBF1A11"/>
    <w:rsid w:val="3EC52607"/>
    <w:rsid w:val="3EEC6CEF"/>
    <w:rsid w:val="3F183429"/>
    <w:rsid w:val="3F373A62"/>
    <w:rsid w:val="3FB77A1D"/>
    <w:rsid w:val="3FDC3674"/>
    <w:rsid w:val="3FED7F8A"/>
    <w:rsid w:val="40094AEF"/>
    <w:rsid w:val="405470BD"/>
    <w:rsid w:val="40566411"/>
    <w:rsid w:val="40794A29"/>
    <w:rsid w:val="40834692"/>
    <w:rsid w:val="40EE429B"/>
    <w:rsid w:val="41200979"/>
    <w:rsid w:val="41431AD5"/>
    <w:rsid w:val="414B3C0F"/>
    <w:rsid w:val="417C1CE7"/>
    <w:rsid w:val="41900018"/>
    <w:rsid w:val="41944406"/>
    <w:rsid w:val="41B71BAF"/>
    <w:rsid w:val="41CE128F"/>
    <w:rsid w:val="41DA6F12"/>
    <w:rsid w:val="42171FB1"/>
    <w:rsid w:val="42965A3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17FC"/>
    <w:rsid w:val="469C74D2"/>
    <w:rsid w:val="47445515"/>
    <w:rsid w:val="474B4782"/>
    <w:rsid w:val="47C90FED"/>
    <w:rsid w:val="47D90D14"/>
    <w:rsid w:val="48387FB0"/>
    <w:rsid w:val="483A6114"/>
    <w:rsid w:val="488727DB"/>
    <w:rsid w:val="48B82268"/>
    <w:rsid w:val="48C354B3"/>
    <w:rsid w:val="48CC69A5"/>
    <w:rsid w:val="48FE27E8"/>
    <w:rsid w:val="493D58B5"/>
    <w:rsid w:val="494A7A04"/>
    <w:rsid w:val="494C08C6"/>
    <w:rsid w:val="4A0A26D2"/>
    <w:rsid w:val="4A2019A5"/>
    <w:rsid w:val="4A241A0B"/>
    <w:rsid w:val="4A7B2875"/>
    <w:rsid w:val="4A934476"/>
    <w:rsid w:val="4AAA220A"/>
    <w:rsid w:val="4AE12E67"/>
    <w:rsid w:val="4AF5012D"/>
    <w:rsid w:val="4B4C0111"/>
    <w:rsid w:val="4B8553A9"/>
    <w:rsid w:val="4BDB3730"/>
    <w:rsid w:val="4C200F7A"/>
    <w:rsid w:val="4CB7424B"/>
    <w:rsid w:val="4CEE3180"/>
    <w:rsid w:val="4D0F4AF6"/>
    <w:rsid w:val="4D1E69D8"/>
    <w:rsid w:val="4DAF0B84"/>
    <w:rsid w:val="4DF94F37"/>
    <w:rsid w:val="4E0A1DD5"/>
    <w:rsid w:val="4E3160E5"/>
    <w:rsid w:val="4E4D37AF"/>
    <w:rsid w:val="4E8C6496"/>
    <w:rsid w:val="4EFD18DE"/>
    <w:rsid w:val="4F144236"/>
    <w:rsid w:val="4F663C87"/>
    <w:rsid w:val="4F7E29A8"/>
    <w:rsid w:val="4F9E1FFC"/>
    <w:rsid w:val="4FCA2132"/>
    <w:rsid w:val="4FF97944"/>
    <w:rsid w:val="50447CC2"/>
    <w:rsid w:val="50702A1E"/>
    <w:rsid w:val="50837445"/>
    <w:rsid w:val="50874A7C"/>
    <w:rsid w:val="50895EE7"/>
    <w:rsid w:val="50921B9D"/>
    <w:rsid w:val="50C423F7"/>
    <w:rsid w:val="50D16158"/>
    <w:rsid w:val="50DB5F45"/>
    <w:rsid w:val="51025EB1"/>
    <w:rsid w:val="51141503"/>
    <w:rsid w:val="518D0ED5"/>
    <w:rsid w:val="51D91DA7"/>
    <w:rsid w:val="520C36F0"/>
    <w:rsid w:val="521A1CED"/>
    <w:rsid w:val="5253039F"/>
    <w:rsid w:val="525C687F"/>
    <w:rsid w:val="52F647F7"/>
    <w:rsid w:val="52F92565"/>
    <w:rsid w:val="53D03877"/>
    <w:rsid w:val="542F73CA"/>
    <w:rsid w:val="5430786D"/>
    <w:rsid w:val="549A77AA"/>
    <w:rsid w:val="54C811C0"/>
    <w:rsid w:val="556A442D"/>
    <w:rsid w:val="55DA564E"/>
    <w:rsid w:val="5604127D"/>
    <w:rsid w:val="56166703"/>
    <w:rsid w:val="56510474"/>
    <w:rsid w:val="56861525"/>
    <w:rsid w:val="56A93273"/>
    <w:rsid w:val="56BD550C"/>
    <w:rsid w:val="56E07045"/>
    <w:rsid w:val="56FF28AF"/>
    <w:rsid w:val="57540E7D"/>
    <w:rsid w:val="577B4878"/>
    <w:rsid w:val="57926973"/>
    <w:rsid w:val="57DF1677"/>
    <w:rsid w:val="58175352"/>
    <w:rsid w:val="581F2200"/>
    <w:rsid w:val="583059FA"/>
    <w:rsid w:val="584A0929"/>
    <w:rsid w:val="5856381D"/>
    <w:rsid w:val="5879039C"/>
    <w:rsid w:val="58CD2491"/>
    <w:rsid w:val="58EE0D50"/>
    <w:rsid w:val="591B41B2"/>
    <w:rsid w:val="59254A26"/>
    <w:rsid w:val="59326325"/>
    <w:rsid w:val="595C505B"/>
    <w:rsid w:val="595E55C3"/>
    <w:rsid w:val="596E7E20"/>
    <w:rsid w:val="59E50FB1"/>
    <w:rsid w:val="5A26548A"/>
    <w:rsid w:val="5A60780B"/>
    <w:rsid w:val="5A774B02"/>
    <w:rsid w:val="5AA61383"/>
    <w:rsid w:val="5AB34579"/>
    <w:rsid w:val="5ADB5B54"/>
    <w:rsid w:val="5AFC6609"/>
    <w:rsid w:val="5B113480"/>
    <w:rsid w:val="5BD456CE"/>
    <w:rsid w:val="5C0D1F49"/>
    <w:rsid w:val="5C3D32A9"/>
    <w:rsid w:val="5C694757"/>
    <w:rsid w:val="5CBB0CE2"/>
    <w:rsid w:val="5CC17177"/>
    <w:rsid w:val="5CF306BC"/>
    <w:rsid w:val="5D3A3884"/>
    <w:rsid w:val="5D3F3D64"/>
    <w:rsid w:val="5D7F0EA9"/>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180BE3"/>
    <w:rsid w:val="62512BB4"/>
    <w:rsid w:val="625D7D1A"/>
    <w:rsid w:val="627A105E"/>
    <w:rsid w:val="62DD7D21"/>
    <w:rsid w:val="62F3304E"/>
    <w:rsid w:val="637D586B"/>
    <w:rsid w:val="63A5560B"/>
    <w:rsid w:val="63E9091F"/>
    <w:rsid w:val="64180B7D"/>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9F79C8"/>
    <w:rsid w:val="67C304AB"/>
    <w:rsid w:val="683F0658"/>
    <w:rsid w:val="689C6793"/>
    <w:rsid w:val="68DB0208"/>
    <w:rsid w:val="68FB170C"/>
    <w:rsid w:val="691A3E9B"/>
    <w:rsid w:val="691B3D98"/>
    <w:rsid w:val="693748F0"/>
    <w:rsid w:val="697E3DD0"/>
    <w:rsid w:val="69846A0E"/>
    <w:rsid w:val="69AD798C"/>
    <w:rsid w:val="69D005C0"/>
    <w:rsid w:val="69D80B96"/>
    <w:rsid w:val="6A3C1901"/>
    <w:rsid w:val="6AA35E57"/>
    <w:rsid w:val="6B68175F"/>
    <w:rsid w:val="6BAF1061"/>
    <w:rsid w:val="6BFD799F"/>
    <w:rsid w:val="6C1E199F"/>
    <w:rsid w:val="6C4A2E5A"/>
    <w:rsid w:val="6C803357"/>
    <w:rsid w:val="6C8138D0"/>
    <w:rsid w:val="6CEF0725"/>
    <w:rsid w:val="6D4B2604"/>
    <w:rsid w:val="6D8030E4"/>
    <w:rsid w:val="6DE70C9B"/>
    <w:rsid w:val="6E0E35C4"/>
    <w:rsid w:val="6E0F7A08"/>
    <w:rsid w:val="6E3947F5"/>
    <w:rsid w:val="6E9C74ED"/>
    <w:rsid w:val="6EF72976"/>
    <w:rsid w:val="6F0E44A8"/>
    <w:rsid w:val="6F795A80"/>
    <w:rsid w:val="6F7C1D2E"/>
    <w:rsid w:val="6F8E0407"/>
    <w:rsid w:val="6FDD069F"/>
    <w:rsid w:val="702B4D16"/>
    <w:rsid w:val="7083761F"/>
    <w:rsid w:val="708C10DB"/>
    <w:rsid w:val="70AA6621"/>
    <w:rsid w:val="7111480F"/>
    <w:rsid w:val="71261F49"/>
    <w:rsid w:val="712E6956"/>
    <w:rsid w:val="71353ADB"/>
    <w:rsid w:val="71473612"/>
    <w:rsid w:val="71500D81"/>
    <w:rsid w:val="71504F32"/>
    <w:rsid w:val="7152309F"/>
    <w:rsid w:val="71815FF4"/>
    <w:rsid w:val="718F7F65"/>
    <w:rsid w:val="727B234E"/>
    <w:rsid w:val="72D068C7"/>
    <w:rsid w:val="72E42ED8"/>
    <w:rsid w:val="735F4CB9"/>
    <w:rsid w:val="73674C62"/>
    <w:rsid w:val="73845865"/>
    <w:rsid w:val="739B6D9E"/>
    <w:rsid w:val="73B927E5"/>
    <w:rsid w:val="73BC1D76"/>
    <w:rsid w:val="73FB6630"/>
    <w:rsid w:val="741B7D02"/>
    <w:rsid w:val="748D790E"/>
    <w:rsid w:val="749820CC"/>
    <w:rsid w:val="74CE04EC"/>
    <w:rsid w:val="74E76DCD"/>
    <w:rsid w:val="751D7C0A"/>
    <w:rsid w:val="756F50A7"/>
    <w:rsid w:val="75722D56"/>
    <w:rsid w:val="75DB5477"/>
    <w:rsid w:val="75FC6AC3"/>
    <w:rsid w:val="7616619B"/>
    <w:rsid w:val="76660D7C"/>
    <w:rsid w:val="766C5968"/>
    <w:rsid w:val="76701FAD"/>
    <w:rsid w:val="7673533E"/>
    <w:rsid w:val="768771B2"/>
    <w:rsid w:val="76BE0C8F"/>
    <w:rsid w:val="76CD53B2"/>
    <w:rsid w:val="770719AC"/>
    <w:rsid w:val="775C64DD"/>
    <w:rsid w:val="776526CC"/>
    <w:rsid w:val="779C3249"/>
    <w:rsid w:val="77A262E1"/>
    <w:rsid w:val="77A406C0"/>
    <w:rsid w:val="77B13C33"/>
    <w:rsid w:val="77ED6F44"/>
    <w:rsid w:val="77F45548"/>
    <w:rsid w:val="784E7CA6"/>
    <w:rsid w:val="78574801"/>
    <w:rsid w:val="7873527F"/>
    <w:rsid w:val="78BE6345"/>
    <w:rsid w:val="790A6425"/>
    <w:rsid w:val="790E2D96"/>
    <w:rsid w:val="791B54B2"/>
    <w:rsid w:val="795A0A34"/>
    <w:rsid w:val="797339C3"/>
    <w:rsid w:val="79D57D57"/>
    <w:rsid w:val="79F00650"/>
    <w:rsid w:val="7A140676"/>
    <w:rsid w:val="7A6242BF"/>
    <w:rsid w:val="7A6274B3"/>
    <w:rsid w:val="7A794513"/>
    <w:rsid w:val="7AE952D2"/>
    <w:rsid w:val="7B3836F6"/>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6483</Words>
  <Characters>20828</Characters>
  <Lines>0</Lines>
  <Paragraphs>0</Paragraphs>
  <TotalTime>0</TotalTime>
  <ScaleCrop>false</ScaleCrop>
  <LinksUpToDate>false</LinksUpToDate>
  <CharactersWithSpaces>20940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妈咪宝贝</cp:lastModifiedBy>
  <dcterms:modified xsi:type="dcterms:W3CDTF">2024-11-18T10:38:50Z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D624B15633CD43C8BF9435464A96BF70</vt:lpwstr>
  </property>
</Properties>
</file>