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库尔勒市人工影响天气办公室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20" w:firstLineChars="200"/>
        <w:rPr>
          <w:rFonts w:hint="eastAsia" w:ascii="Times New Roman" w:hAnsi="Times New Roman" w:eastAsia="方正仿宋_GBK" w:cs="Times New Roman"/>
          <w:color w:val="auto"/>
          <w:sz w:val="31"/>
          <w:szCs w:val="31"/>
          <w:highlight w:val="none"/>
          <w:lang w:val="en-US" w:eastAsia="zh-CN"/>
        </w:rPr>
      </w:pPr>
      <w:bookmarkStart w:id="4" w:name="_Toc31238"/>
      <w:bookmarkStart w:id="5" w:name="_Toc2151"/>
      <w:r>
        <w:rPr>
          <w:rFonts w:hint="eastAsia" w:ascii="Times New Roman" w:hAnsi="Times New Roman" w:eastAsia="方正仿宋_GBK" w:cs="Times New Roman"/>
          <w:color w:val="auto"/>
          <w:sz w:val="31"/>
          <w:szCs w:val="31"/>
          <w:highlight w:val="none"/>
          <w:lang w:val="en-US" w:eastAsia="zh-CN"/>
        </w:rPr>
        <w:t xml:space="preserve">（1）拟定人工影响天气的发展规划、计划和有关法规、 制度的实施细则、补充规定及作业技术规范，并组织实施。 </w:t>
      </w:r>
    </w:p>
    <w:p>
      <w:pPr>
        <w:ind w:firstLine="620" w:firstLineChars="200"/>
        <w:rPr>
          <w:rFonts w:hint="eastAsia" w:ascii="Times New Roman" w:hAnsi="Times New Roman" w:eastAsia="方正仿宋_GBK" w:cs="Times New Roman"/>
          <w:color w:val="auto"/>
          <w:sz w:val="31"/>
          <w:szCs w:val="31"/>
          <w:highlight w:val="none"/>
          <w:lang w:val="en-US" w:eastAsia="zh-CN"/>
        </w:rPr>
      </w:pPr>
      <w:r>
        <w:rPr>
          <w:rFonts w:hint="eastAsia" w:ascii="Times New Roman" w:hAnsi="Times New Roman" w:eastAsia="方正仿宋_GBK" w:cs="Times New Roman"/>
          <w:color w:val="auto"/>
          <w:sz w:val="31"/>
          <w:szCs w:val="31"/>
          <w:highlight w:val="none"/>
          <w:lang w:val="en-US" w:eastAsia="zh-CN"/>
        </w:rPr>
        <w:t xml:space="preserve">（2）负责审批本市区域内人工影响天气作业组织资格； 审定全市高炮（火箭）人工增雨、防雹作业计划；综合协调全市人工增雨防雹作业及空域申报工作。 </w:t>
      </w:r>
    </w:p>
    <w:p>
      <w:pPr>
        <w:ind w:firstLine="620" w:firstLineChars="200"/>
        <w:rPr>
          <w:rFonts w:hint="eastAsia" w:ascii="Times New Roman" w:hAnsi="Times New Roman" w:eastAsia="方正仿宋_GBK" w:cs="Times New Roman"/>
          <w:color w:val="auto"/>
          <w:sz w:val="31"/>
          <w:szCs w:val="31"/>
          <w:highlight w:val="none"/>
          <w:lang w:val="en-US" w:eastAsia="zh-CN"/>
        </w:rPr>
      </w:pPr>
      <w:r>
        <w:rPr>
          <w:rFonts w:hint="eastAsia" w:ascii="Times New Roman" w:hAnsi="Times New Roman" w:eastAsia="方正仿宋_GBK" w:cs="Times New Roman"/>
          <w:color w:val="auto"/>
          <w:sz w:val="31"/>
          <w:szCs w:val="31"/>
          <w:highlight w:val="none"/>
          <w:lang w:val="en-US" w:eastAsia="zh-CN"/>
        </w:rPr>
        <w:t xml:space="preserve">（3）负责全市人工影响天气业务管理、技术指导、技术培训和炮箭手持证上岗培训、颁证工作。 </w:t>
      </w:r>
    </w:p>
    <w:p>
      <w:pPr>
        <w:ind w:firstLine="620" w:firstLineChars="200"/>
        <w:rPr>
          <w:rFonts w:hint="eastAsia" w:ascii="Times New Roman" w:hAnsi="Times New Roman" w:eastAsia="方正仿宋_GBK" w:cs="Times New Roman"/>
          <w:color w:val="auto"/>
          <w:sz w:val="31"/>
          <w:szCs w:val="31"/>
          <w:highlight w:val="none"/>
          <w:lang w:val="en-US" w:eastAsia="zh-CN"/>
        </w:rPr>
      </w:pPr>
      <w:r>
        <w:rPr>
          <w:rFonts w:hint="eastAsia" w:ascii="Times New Roman" w:hAnsi="Times New Roman" w:eastAsia="方正仿宋_GBK" w:cs="Times New Roman"/>
          <w:color w:val="auto"/>
          <w:sz w:val="31"/>
          <w:szCs w:val="31"/>
          <w:highlight w:val="none"/>
          <w:lang w:val="en-US" w:eastAsia="zh-CN"/>
        </w:rPr>
        <w:t xml:space="preserve">（4）归口管理全市人工增雨、防雹高炮、火箭架、炮弹、火箭弹的计划、调拨和年检工作，并实行统筹、统购、统管；归口管理人工影响天气作业指导的X波段数字化雷达。制定本市范围内的飞机人工影响天气作业计划、并组织协调实施。 </w:t>
      </w:r>
    </w:p>
    <w:p>
      <w:pPr>
        <w:ind w:firstLine="620" w:firstLineChars="200"/>
        <w:rPr>
          <w:rFonts w:hint="eastAsia" w:ascii="Times New Roman" w:hAnsi="Times New Roman" w:eastAsia="方正仿宋_GBK" w:cs="Times New Roman"/>
          <w:color w:val="auto"/>
          <w:sz w:val="31"/>
          <w:szCs w:val="31"/>
          <w:highlight w:val="none"/>
          <w:lang w:val="en-US" w:eastAsia="zh-CN"/>
        </w:rPr>
      </w:pPr>
      <w:r>
        <w:rPr>
          <w:rFonts w:hint="eastAsia" w:ascii="Times New Roman" w:hAnsi="Times New Roman" w:eastAsia="方正仿宋_GBK" w:cs="Times New Roman"/>
          <w:color w:val="auto"/>
          <w:sz w:val="31"/>
          <w:szCs w:val="31"/>
          <w:highlight w:val="none"/>
          <w:lang w:val="en-US" w:eastAsia="zh-CN"/>
        </w:rPr>
        <w:t xml:space="preserve">（5）负责全市人工影响天气作业情况的统计、效益评估等工作；定期、不定期编发工作简报和统计报表。负责组织实施本市人工影响天气业务的现代化建设工作。 </w:t>
      </w:r>
    </w:p>
    <w:p>
      <w:pPr>
        <w:ind w:firstLine="620" w:firstLineChars="200"/>
        <w:rPr>
          <w:rFonts w:hint="eastAsia" w:ascii="Times New Roman" w:hAnsi="Times New Roman" w:eastAsia="方正仿宋_GBK" w:cs="Times New Roman"/>
          <w:color w:val="auto"/>
          <w:sz w:val="31"/>
          <w:szCs w:val="31"/>
          <w:highlight w:val="none"/>
          <w:lang w:val="en-US" w:eastAsia="zh-CN"/>
        </w:rPr>
      </w:pPr>
      <w:r>
        <w:rPr>
          <w:rFonts w:hint="eastAsia" w:ascii="Times New Roman" w:hAnsi="Times New Roman" w:eastAsia="方正仿宋_GBK" w:cs="Times New Roman"/>
          <w:color w:val="auto"/>
          <w:sz w:val="31"/>
          <w:szCs w:val="31"/>
          <w:highlight w:val="none"/>
          <w:lang w:val="en-US" w:eastAsia="zh-CN"/>
        </w:rPr>
        <w:t xml:space="preserve">（6）承担本市人工影响天气业务的科学研究及新技术、 新项目的开发工作。配合有关部门组织实施重大森林火灾灭 火、消除公共污染等目的的人工增雨工作。 </w:t>
      </w:r>
    </w:p>
    <w:p>
      <w:pPr>
        <w:ind w:firstLine="620" w:firstLineChars="200"/>
        <w:rPr>
          <w:rFonts w:hint="eastAsia" w:ascii="Times New Roman" w:hAnsi="Times New Roman" w:eastAsia="方正仿宋_GBK" w:cs="Times New Roman"/>
          <w:color w:val="auto"/>
          <w:sz w:val="31"/>
          <w:szCs w:val="31"/>
          <w:highlight w:val="none"/>
        </w:rPr>
      </w:pPr>
      <w:r>
        <w:rPr>
          <w:rFonts w:hint="eastAsia" w:ascii="Times New Roman" w:hAnsi="Times New Roman" w:eastAsia="方正仿宋_GBK" w:cs="Times New Roman"/>
          <w:color w:val="auto"/>
          <w:sz w:val="31"/>
          <w:szCs w:val="31"/>
          <w:highlight w:val="none"/>
          <w:lang w:val="en-US" w:eastAsia="zh-CN"/>
        </w:rPr>
        <w:t>（7）承办上级交办的其他工作。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库尔勒市人工影响天气办公室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ind w:firstLine="640" w:firstLineChars="200"/>
        <w:rPr>
          <w:rFonts w:hint="eastAsia" w:ascii="方正仿宋_GBK" w:hAnsi="方正仿宋_GBK" w:eastAsia="方正仿宋_GBK" w:cs="方正仿宋_GBK"/>
          <w:color w:val="auto"/>
          <w:sz w:val="31"/>
          <w:szCs w:val="31"/>
          <w:highlight w:val="none"/>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Times New Roman" w:eastAsia="仿宋_GB2312" w:cs="Times New Roman"/>
          <w:color w:val="auto"/>
          <w:sz w:val="32"/>
          <w:szCs w:val="32"/>
          <w:highlight w:val="none"/>
          <w:lang w:val="en-US" w:eastAsia="zh-CN"/>
        </w:rPr>
        <w:t>1 个处室，分别是：综合管理办公室。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112.62万元，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112.62万元，使用非财政拨款结余0.00万元，年初结转和结余0.00万元。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112.62万元，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112.62万元，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增加9.57万元</w:t>
      </w:r>
      <w:r>
        <w:rPr>
          <w:rFonts w:hint="eastAsia" w:ascii="仿宋_GB2312" w:eastAsia="仿宋_GB2312"/>
          <w:color w:val="auto"/>
          <w:spacing w:val="0"/>
          <w:sz w:val="32"/>
          <w:szCs w:val="32"/>
          <w:highlight w:val="none"/>
          <w:lang w:eastAsia="zh-CN"/>
        </w:rPr>
        <w:t>，增长9.29%，主要原因是：本年增加绩效工资、</w:t>
      </w:r>
      <w:r>
        <w:rPr>
          <w:rFonts w:hint="eastAsia" w:ascii="仿宋_GB2312" w:eastAsia="仿宋_GB2312"/>
          <w:color w:val="auto"/>
          <w:spacing w:val="0"/>
          <w:sz w:val="32"/>
          <w:szCs w:val="32"/>
          <w:highlight w:val="none"/>
          <w:lang w:val="en-US" w:eastAsia="zh-CN"/>
        </w:rPr>
        <w:t>发放2022年</w:t>
      </w:r>
      <w:r>
        <w:rPr>
          <w:rFonts w:hint="eastAsia" w:ascii="仿宋_GB2312" w:eastAsia="仿宋_GB2312"/>
          <w:color w:val="auto"/>
          <w:spacing w:val="0"/>
          <w:sz w:val="32"/>
          <w:szCs w:val="32"/>
          <w:highlight w:val="none"/>
          <w:lang w:eastAsia="zh-CN"/>
        </w:rPr>
        <w:t>绩效工资，人员经费增加，支出增加；</w:t>
      </w:r>
      <w:r>
        <w:rPr>
          <w:rFonts w:hint="eastAsia" w:ascii="仿宋_GB2312" w:eastAsia="仿宋_GB2312"/>
          <w:color w:val="auto"/>
          <w:spacing w:val="0"/>
          <w:sz w:val="32"/>
          <w:szCs w:val="32"/>
          <w:highlight w:val="none"/>
          <w:lang w:val="en-US" w:eastAsia="zh-CN"/>
        </w:rPr>
        <w:t>再者，项目经费支出比上年增加。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112.62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112.62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本年支出112.62万元，其中：基本支出77.13万元，占68.49%；项目支出35.49万元，占31.51%；上缴上级支出0.00万元，占0.00%；经营支出0.00万元，占0.00%；对附属单位补助支出0.00万元，占0.00%。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112.62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112.62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112.62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112.62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增长9.29%,</w:t>
      </w:r>
      <w:r>
        <w:rPr>
          <w:rFonts w:hint="eastAsia" w:ascii="仿宋_GB2312" w:eastAsia="仿宋_GB2312"/>
          <w:color w:val="auto"/>
          <w:spacing w:val="0"/>
          <w:sz w:val="32"/>
          <w:szCs w:val="32"/>
          <w:highlight w:val="none"/>
          <w:lang w:eastAsia="zh-CN"/>
        </w:rPr>
        <w:t>主要原因是：本年增加绩效工资、</w:t>
      </w:r>
      <w:r>
        <w:rPr>
          <w:rFonts w:hint="eastAsia" w:ascii="仿宋_GB2312" w:eastAsia="仿宋_GB2312"/>
          <w:color w:val="auto"/>
          <w:spacing w:val="0"/>
          <w:sz w:val="32"/>
          <w:szCs w:val="32"/>
          <w:highlight w:val="none"/>
          <w:lang w:val="en-US" w:eastAsia="zh-CN"/>
        </w:rPr>
        <w:t>发放2022年</w:t>
      </w:r>
      <w:r>
        <w:rPr>
          <w:rFonts w:hint="eastAsia" w:ascii="仿宋_GB2312" w:eastAsia="仿宋_GB2312"/>
          <w:color w:val="auto"/>
          <w:spacing w:val="0"/>
          <w:sz w:val="32"/>
          <w:szCs w:val="32"/>
          <w:highlight w:val="none"/>
          <w:lang w:eastAsia="zh-CN"/>
        </w:rPr>
        <w:t>绩效工资，人员经费增加，支出增加；</w:t>
      </w:r>
      <w:r>
        <w:rPr>
          <w:rFonts w:hint="eastAsia" w:ascii="仿宋_GB2312" w:eastAsia="仿宋_GB2312"/>
          <w:color w:val="auto"/>
          <w:spacing w:val="0"/>
          <w:sz w:val="32"/>
          <w:szCs w:val="32"/>
          <w:highlight w:val="none"/>
          <w:lang w:val="en-US" w:eastAsia="zh-CN"/>
        </w:rPr>
        <w:t>再者，项目经费支出比上年增加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125.22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112.62</w:t>
      </w:r>
      <w:r>
        <w:rPr>
          <w:rFonts w:hint="eastAsia" w:ascii="仿宋_GB2312" w:eastAsia="仿宋_GB2312"/>
          <w:color w:val="auto"/>
          <w:spacing w:val="0"/>
          <w:sz w:val="32"/>
          <w:szCs w:val="32"/>
          <w:highlight w:val="none"/>
          <w:lang w:eastAsia="zh-CN"/>
        </w:rPr>
        <w:t>万元，预决算差异率-10.07%，主要原因是：</w:t>
      </w:r>
      <w:r>
        <w:rPr>
          <w:rFonts w:hint="eastAsia" w:ascii="仿宋_GB2312" w:eastAsia="仿宋_GB2312"/>
          <w:color w:val="auto"/>
          <w:spacing w:val="0"/>
          <w:sz w:val="32"/>
          <w:szCs w:val="32"/>
          <w:highlight w:val="none"/>
          <w:lang w:val="en-US" w:eastAsia="zh-CN"/>
        </w:rPr>
        <w:t>项目支出拨款减少，支出减少，所以</w:t>
      </w:r>
      <w:r>
        <w:rPr>
          <w:rFonts w:hint="eastAsia" w:ascii="仿宋_GB2312" w:eastAsia="仿宋_GB2312"/>
          <w:color w:val="auto"/>
          <w:spacing w:val="0"/>
          <w:sz w:val="32"/>
          <w:szCs w:val="32"/>
          <w:highlight w:val="none"/>
          <w:lang w:eastAsia="zh-CN"/>
        </w:rPr>
        <w:t>决算</w:t>
      </w:r>
      <w:r>
        <w:rPr>
          <w:rFonts w:hint="eastAsia" w:ascii="仿宋_GB2312" w:eastAsia="仿宋_GB2312"/>
          <w:color w:val="auto"/>
          <w:spacing w:val="0"/>
          <w:sz w:val="32"/>
          <w:szCs w:val="32"/>
          <w:highlight w:val="none"/>
          <w:lang w:val="en-US" w:eastAsia="zh-CN"/>
        </w:rPr>
        <w:t>支出比</w:t>
      </w:r>
      <w:r>
        <w:rPr>
          <w:rFonts w:hint="eastAsia" w:ascii="仿宋_GB2312" w:eastAsia="仿宋_GB2312"/>
          <w:color w:val="auto"/>
          <w:spacing w:val="0"/>
          <w:sz w:val="32"/>
          <w:szCs w:val="32"/>
          <w:highlight w:val="none"/>
          <w:lang w:eastAsia="zh-CN"/>
        </w:rPr>
        <w:t>预算</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2023年度一般公共预算财政拨款支出112.62万元，占本年支出合计的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增长9.29%,</w:t>
      </w:r>
      <w:r>
        <w:rPr>
          <w:rFonts w:hint="eastAsia" w:ascii="仿宋_GB2312" w:eastAsia="仿宋_GB2312"/>
          <w:color w:val="auto"/>
          <w:spacing w:val="0"/>
          <w:sz w:val="32"/>
          <w:szCs w:val="32"/>
          <w:highlight w:val="none"/>
          <w:lang w:eastAsia="zh-CN"/>
        </w:rPr>
        <w:t>主要原因是：本年增加绩效工资、</w:t>
      </w:r>
      <w:r>
        <w:rPr>
          <w:rFonts w:hint="eastAsia" w:ascii="仿宋_GB2312" w:eastAsia="仿宋_GB2312"/>
          <w:color w:val="auto"/>
          <w:spacing w:val="0"/>
          <w:sz w:val="32"/>
          <w:szCs w:val="32"/>
          <w:highlight w:val="none"/>
          <w:lang w:val="en-US" w:eastAsia="zh-CN"/>
        </w:rPr>
        <w:t>发放2022年</w:t>
      </w:r>
      <w:r>
        <w:rPr>
          <w:rFonts w:hint="eastAsia" w:ascii="仿宋_GB2312" w:eastAsia="仿宋_GB2312"/>
          <w:color w:val="auto"/>
          <w:spacing w:val="0"/>
          <w:sz w:val="32"/>
          <w:szCs w:val="32"/>
          <w:highlight w:val="none"/>
          <w:lang w:eastAsia="zh-CN"/>
        </w:rPr>
        <w:t>绩效工资，人员经费增加，支出增加；</w:t>
      </w:r>
      <w:r>
        <w:rPr>
          <w:rFonts w:hint="eastAsia" w:ascii="仿宋_GB2312" w:eastAsia="仿宋_GB2312"/>
          <w:color w:val="auto"/>
          <w:spacing w:val="0"/>
          <w:sz w:val="32"/>
          <w:szCs w:val="32"/>
          <w:highlight w:val="none"/>
          <w:lang w:val="en-US" w:eastAsia="zh-CN"/>
        </w:rPr>
        <w:t>再者，项目经费支出比上年增加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125.22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112.62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-10.07%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项目支出拨款减少，支出减少，所以</w:t>
      </w:r>
      <w:r>
        <w:rPr>
          <w:rFonts w:hint="eastAsia" w:ascii="仿宋_GB2312" w:eastAsia="仿宋_GB2312"/>
          <w:color w:val="auto"/>
          <w:spacing w:val="0"/>
          <w:sz w:val="32"/>
          <w:szCs w:val="32"/>
          <w:highlight w:val="none"/>
          <w:lang w:eastAsia="zh-CN"/>
        </w:rPr>
        <w:t>决算</w:t>
      </w:r>
      <w:r>
        <w:rPr>
          <w:rFonts w:hint="eastAsia" w:ascii="仿宋_GB2312" w:eastAsia="仿宋_GB2312"/>
          <w:color w:val="auto"/>
          <w:spacing w:val="0"/>
          <w:sz w:val="32"/>
          <w:szCs w:val="32"/>
          <w:highlight w:val="none"/>
          <w:lang w:val="en-US" w:eastAsia="zh-CN"/>
        </w:rPr>
        <w:t>支出比</w:t>
      </w:r>
      <w:r>
        <w:rPr>
          <w:rFonts w:hint="eastAsia" w:ascii="仿宋_GB2312" w:eastAsia="仿宋_GB2312"/>
          <w:color w:val="auto"/>
          <w:spacing w:val="0"/>
          <w:sz w:val="32"/>
          <w:szCs w:val="32"/>
          <w:highlight w:val="none"/>
          <w:lang w:eastAsia="zh-CN"/>
        </w:rPr>
        <w:t>预算</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0.36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35.49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31.51</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7.46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2.86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60.36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1.教育支出（类）进修及培训（款）培训支出（项）:支出决算数为0.40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上年疫情原因，未开展培训工作；本年加大了专业培训力度，培训支出增加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2.卫生健康支出（类）行政事业单位医疗（款）事业单位医疗（项）:支出决算数为3.22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3.54%，主要原因是：</w:t>
      </w:r>
      <w:r>
        <w:rPr>
          <w:rFonts w:hint="eastAsia" w:ascii="Times New Roman" w:hAnsi="Times New Roman" w:eastAsia="方正仿宋_GBK" w:cs="Times New Roman"/>
          <w:color w:val="auto"/>
          <w:sz w:val="31"/>
          <w:szCs w:val="31"/>
          <w:highlight w:val="none"/>
          <w:lang w:val="en-US" w:eastAsia="zh-CN"/>
        </w:rPr>
        <w:t>人员工资增加社保缴费基数增加；</w:t>
      </w:r>
      <w:r>
        <w:rPr>
          <w:rFonts w:hint="eastAsia" w:ascii="Times New Roman" w:hAnsi="Times New Roman" w:eastAsia="方正仿宋_GBK" w:cs="Times New Roman"/>
          <w:color w:val="auto"/>
          <w:sz w:val="31"/>
          <w:szCs w:val="31"/>
          <w:highlight w:val="none"/>
          <w:lang w:eastAsia="zh-CN"/>
        </w:rPr>
        <w:t>导致基本</w:t>
      </w:r>
      <w:r>
        <w:rPr>
          <w:rFonts w:hint="eastAsia" w:ascii="Times New Roman" w:hAnsi="Times New Roman" w:eastAsia="方正仿宋_GBK" w:cs="Times New Roman"/>
          <w:color w:val="auto"/>
          <w:sz w:val="31"/>
          <w:szCs w:val="31"/>
          <w:highlight w:val="none"/>
        </w:rPr>
        <w:t>医疗</w:t>
      </w:r>
      <w:r>
        <w:rPr>
          <w:rFonts w:hint="eastAsia" w:ascii="Times New Roman" w:hAnsi="Times New Roman" w:eastAsia="方正仿宋_GBK" w:cs="Times New Roman"/>
          <w:color w:val="auto"/>
          <w:sz w:val="31"/>
          <w:szCs w:val="31"/>
          <w:highlight w:val="none"/>
          <w:lang w:eastAsia="zh-CN"/>
        </w:rPr>
        <w:t>保险缴费基数增加，支出增加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3.住房保障支出（类）住房改革支出（款）住房公积金（项）:支出决算数为5.69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1.04%，主要原因是：</w:t>
      </w:r>
      <w:r>
        <w:rPr>
          <w:rFonts w:hint="eastAsia" w:eastAsia="仿宋_GB2312" w:cs="Times New Roman"/>
          <w:color w:val="auto"/>
          <w:kern w:val="2"/>
          <w:sz w:val="32"/>
          <w:szCs w:val="32"/>
          <w:highlight w:val="none"/>
          <w:lang w:val="en-US" w:eastAsia="zh-CN" w:bidi="ar-SA"/>
        </w:rPr>
        <w:t>本年4月调出1人，</w:t>
      </w:r>
      <w:r>
        <w:rPr>
          <w:rFonts w:hint="eastAsia" w:ascii="Times New Roman" w:hAnsi="Times New Roman" w:eastAsia="方正仿宋_GBK" w:cs="Times New Roman"/>
          <w:color w:val="auto"/>
          <w:sz w:val="31"/>
          <w:szCs w:val="31"/>
          <w:highlight w:val="none"/>
          <w:lang w:val="en-US" w:eastAsia="zh-CN"/>
        </w:rPr>
        <w:t>人员工资</w:t>
      </w:r>
      <w:r>
        <w:rPr>
          <w:rFonts w:hint="eastAsia" w:eastAsia="方正仿宋_GBK" w:cs="Times New Roman"/>
          <w:color w:val="auto"/>
          <w:sz w:val="31"/>
          <w:szCs w:val="31"/>
          <w:highlight w:val="none"/>
          <w:lang w:val="en-US" w:eastAsia="zh-CN"/>
        </w:rPr>
        <w:t>减少，</w:t>
      </w:r>
      <w:r>
        <w:rPr>
          <w:rFonts w:hint="eastAsia" w:ascii="Times New Roman" w:hAnsi="Times New Roman" w:eastAsia="方正仿宋_GBK" w:cs="Times New Roman"/>
          <w:color w:val="auto"/>
          <w:sz w:val="31"/>
          <w:szCs w:val="31"/>
          <w:highlight w:val="none"/>
          <w:lang w:eastAsia="zh-CN"/>
        </w:rPr>
        <w:t>职工住房公积金缴费基数</w:t>
      </w:r>
      <w:r>
        <w:rPr>
          <w:rFonts w:hint="eastAsia" w:eastAsia="方正仿宋_GBK" w:cs="Times New Roman"/>
          <w:color w:val="auto"/>
          <w:sz w:val="31"/>
          <w:szCs w:val="31"/>
          <w:highlight w:val="none"/>
          <w:lang w:eastAsia="zh-CN"/>
        </w:rPr>
        <w:t>减少</w:t>
      </w:r>
      <w:r>
        <w:rPr>
          <w:rFonts w:hint="eastAsia" w:ascii="Times New Roman" w:hAnsi="Times New Roman" w:eastAsia="方正仿宋_GBK" w:cs="Times New Roman"/>
          <w:color w:val="auto"/>
          <w:sz w:val="31"/>
          <w:szCs w:val="31"/>
          <w:highlight w:val="none"/>
          <w:lang w:eastAsia="zh-CN"/>
        </w:rPr>
        <w:t>，支出</w:t>
      </w:r>
      <w:r>
        <w:rPr>
          <w:rFonts w:hint="eastAsia" w:eastAsia="方正仿宋_GBK" w:cs="Times New Roman"/>
          <w:color w:val="auto"/>
          <w:sz w:val="31"/>
          <w:szCs w:val="31"/>
          <w:highlight w:val="none"/>
          <w:lang w:eastAsia="zh-CN"/>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4.自然资源海洋气象等支出（类）气象事务（款）气象事业机构（项）:支出决算数为60.36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2.40%，主要原因是：</w:t>
      </w:r>
      <w:r>
        <w:rPr>
          <w:rFonts w:hint="eastAsia" w:eastAsia="仿宋_GB2312" w:cs="Times New Roman"/>
          <w:color w:val="auto"/>
          <w:kern w:val="2"/>
          <w:sz w:val="32"/>
          <w:szCs w:val="32"/>
          <w:highlight w:val="none"/>
          <w:lang w:val="en-US" w:eastAsia="zh-CN" w:bidi="ar-SA"/>
        </w:rPr>
        <w:t>上年疫情原因，很多工作未开展；本年办公费、邮电费、维修（护）费、劳务费、  工会经费等均支出比上年增加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5.科学技术支出（类）技术研究与开发（款）科技成果转化与扩散（项）:支出决算数为35.49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39.12%，主要原因是：科学技术</w:t>
      </w:r>
      <w:r>
        <w:rPr>
          <w:rFonts w:hint="eastAsia" w:eastAsia="仿宋_GB2312" w:cs="Times New Roman"/>
          <w:color w:val="auto"/>
          <w:kern w:val="2"/>
          <w:sz w:val="32"/>
          <w:szCs w:val="32"/>
          <w:highlight w:val="none"/>
          <w:lang w:val="en-US" w:eastAsia="zh-CN" w:bidi="ar-SA"/>
        </w:rPr>
        <w:t>项目经费支出比上年增长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6.社会保障和就业支出（类）行政事业单位养老支出（款）机关事业单位基本养老保险缴费支出（项）:支出决算数为7.46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10.86%，主要原因是：</w:t>
      </w:r>
      <w:r>
        <w:rPr>
          <w:rFonts w:hint="eastAsia" w:ascii="Times New Roman" w:hAnsi="Times New Roman" w:eastAsia="方正仿宋_GBK" w:cs="Times New Roman"/>
          <w:color w:val="auto"/>
          <w:sz w:val="31"/>
          <w:szCs w:val="31"/>
          <w:highlight w:val="none"/>
          <w:lang w:val="en-US" w:eastAsia="zh-CN"/>
        </w:rPr>
        <w:t>本年补发2022年绩效工资；人员工资增加社保缴费基数增加；</w:t>
      </w:r>
      <w:r>
        <w:rPr>
          <w:rFonts w:hint="eastAsia" w:ascii="Times New Roman" w:hAnsi="Times New Roman" w:eastAsia="方正仿宋_GBK" w:cs="Times New Roman"/>
          <w:color w:val="auto"/>
          <w:sz w:val="31"/>
          <w:szCs w:val="31"/>
          <w:highlight w:val="none"/>
          <w:lang w:eastAsia="zh-CN"/>
        </w:rPr>
        <w:t>导致</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ascii="Times New Roman" w:hAnsi="Times New Roman" w:eastAsia="方正仿宋_GBK" w:cs="Times New Roman"/>
          <w:color w:val="auto"/>
          <w:sz w:val="31"/>
          <w:szCs w:val="31"/>
          <w:highlight w:val="none"/>
          <w:lang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7.灾害防治及应急管理支出（类）应急管理事务（款）灾害风险防治（项）:支出决算数为0.00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100%，主要原因是：灾害风险防治</w:t>
      </w:r>
      <w:r>
        <w:rPr>
          <w:rFonts w:hint="eastAsia" w:eastAsia="仿宋_GB2312" w:cs="Times New Roman"/>
          <w:color w:val="auto"/>
          <w:kern w:val="2"/>
          <w:sz w:val="32"/>
          <w:szCs w:val="32"/>
          <w:highlight w:val="none"/>
          <w:lang w:val="en-US" w:eastAsia="zh-CN" w:bidi="ar-SA"/>
        </w:rPr>
        <w:t>专项经费拨款减少，支出减少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77.13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74.63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基本工资、津贴补贴、奖金、机关事业单位基本养老保险缴费、职工基本医疗保险缴费、其他社会保障缴费、住房公积金、其他工资福利支出。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2.50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办公费、手续费、邮电费、维修（护）费、培训费、劳务费、工会经费、福利费。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方正仿宋_GBK" w:cs="Times New Roman"/>
          <w:color w:val="auto"/>
          <w:sz w:val="31"/>
          <w:szCs w:val="31"/>
          <w:highlight w:val="none"/>
          <w:lang w:eastAsia="zh-CN"/>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方正仿宋_GBK" w:cs="Times New Roman"/>
          <w:color w:val="auto"/>
          <w:sz w:val="31"/>
          <w:szCs w:val="31"/>
          <w:highlight w:val="none"/>
          <w:lang w:eastAsia="zh-CN"/>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方正仿宋_GBK" w:cs="Times New Roman"/>
          <w:color w:val="auto"/>
          <w:sz w:val="31"/>
          <w:szCs w:val="31"/>
          <w:highlight w:val="none"/>
          <w:lang w:eastAsia="zh-CN"/>
        </w:rPr>
        <w:t>我单位无公务接待</w:t>
      </w:r>
      <w:r>
        <w:rPr>
          <w:rFonts w:hint="eastAsia" w:eastAsia="方正仿宋_GBK" w:cs="Times New Roman"/>
          <w:color w:val="auto"/>
          <w:sz w:val="31"/>
          <w:szCs w:val="31"/>
          <w:highlight w:val="none"/>
          <w:lang w:eastAsia="zh-CN"/>
        </w:rPr>
        <w:t>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w:t>
      </w:r>
      <w:r>
        <w:rPr>
          <w:rFonts w:hint="eastAsia" w:ascii="仿宋_GB2312" w:hAnsi="Times New Roman" w:eastAsia="仿宋_GB2312" w:cs="Times New Roman"/>
          <w:color w:val="auto"/>
          <w:sz w:val="32"/>
          <w:szCs w:val="32"/>
          <w:highlight w:val="none"/>
          <w:lang w:eastAsia="zh-CN"/>
        </w:rPr>
        <w:t>无</w:t>
      </w:r>
      <w:r>
        <w:rPr>
          <w:rFonts w:hint="eastAsia" w:ascii="仿宋_GB2312" w:eastAsia="仿宋_GB2312"/>
          <w:color w:val="auto"/>
          <w:sz w:val="32"/>
          <w:szCs w:val="32"/>
          <w:highlight w:val="none"/>
          <w:lang w:val="zh-CN" w:eastAsia="zh-CN"/>
        </w:rPr>
        <w:t>因公出国（境）费</w:t>
      </w:r>
      <w:r>
        <w:rPr>
          <w:rFonts w:hint="eastAsia" w:ascii="仿宋_GB2312" w:hAnsi="Times New Roman" w:eastAsia="仿宋_GB2312" w:cs="Times New Roman"/>
          <w:color w:val="auto"/>
          <w:sz w:val="32"/>
          <w:szCs w:val="32"/>
          <w:highlight w:val="none"/>
          <w:lang w:eastAsia="zh-CN"/>
        </w:rPr>
        <w:t>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Times New Roman" w:hAnsi="Times New Roman" w:eastAsia="方正仿宋_GBK" w:cs="Times New Roman"/>
          <w:color w:val="auto"/>
          <w:sz w:val="31"/>
          <w:szCs w:val="31"/>
          <w:highlight w:val="none"/>
          <w:lang w:eastAsia="zh-CN"/>
        </w:rPr>
        <w:t>本年无</w:t>
      </w:r>
      <w:r>
        <w:rPr>
          <w:rFonts w:hint="eastAsia" w:ascii="仿宋_GB2312" w:eastAsia="仿宋_GB2312"/>
          <w:color w:val="auto"/>
          <w:sz w:val="32"/>
          <w:szCs w:val="32"/>
          <w:highlight w:val="none"/>
          <w:lang w:val="zh-CN" w:eastAsia="zh-CN"/>
        </w:rPr>
        <w:t>公务用车购置及运行维护费</w:t>
      </w:r>
      <w:r>
        <w:rPr>
          <w:rFonts w:hint="eastAsia" w:ascii="Times New Roman" w:hAnsi="Times New Roman" w:eastAsia="方正仿宋_GBK" w:cs="Times New Roman"/>
          <w:color w:val="auto"/>
          <w:sz w:val="31"/>
          <w:szCs w:val="31"/>
          <w:highlight w:val="none"/>
          <w:lang w:eastAsia="zh-CN"/>
        </w:rPr>
        <w:t>开支内容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9辆，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hAnsi="Times New Roman" w:eastAsia="仿宋_GB2312" w:cs="Times New Roman"/>
          <w:color w:val="auto"/>
          <w:sz w:val="32"/>
          <w:szCs w:val="32"/>
          <w:highlight w:val="none"/>
          <w:lang w:val="en-US" w:eastAsia="zh-CN"/>
        </w:rPr>
        <w:t>固定资产车辆</w:t>
      </w:r>
      <w:r>
        <w:rPr>
          <w:rFonts w:hint="eastAsia" w:ascii="仿宋_GB2312" w:eastAsia="仿宋_GB2312" w:cs="Times New Roman"/>
          <w:color w:val="auto"/>
          <w:sz w:val="32"/>
          <w:szCs w:val="32"/>
          <w:highlight w:val="none"/>
          <w:lang w:val="en-US" w:eastAsia="zh-CN"/>
        </w:rPr>
        <w:t>9辆，主要用于人影作业人工增雨发射炮弹专用，在专用车辆维护费列支</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单位无“三公”经费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单位无因公出国（境）费</w:t>
      </w:r>
      <w:r>
        <w:rPr>
          <w:rFonts w:hint="eastAsia" w:ascii="仿宋_GB2312" w:eastAsia="仿宋_GB2312"/>
          <w:color w:val="auto"/>
          <w:sz w:val="32"/>
          <w:szCs w:val="32"/>
          <w:highlight w:val="none"/>
          <w:lang w:val="en-US" w:eastAsia="zh-CN"/>
        </w:rPr>
        <w:t>全年预算支出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单位无公务用车购置费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单位无公务用车运行费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单位无公务接待费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库尔勒市人工影响天气办公室（事业单位）公用经费支出2.50万元，</w:t>
      </w:r>
      <w:r>
        <w:rPr>
          <w:rFonts w:hint="eastAsia" w:ascii="Times New Roman" w:hAnsi="Times New Roman" w:eastAsia="仿宋_GB2312" w:cs="Times New Roman"/>
          <w:color w:val="auto"/>
          <w:sz w:val="32"/>
          <w:szCs w:val="32"/>
          <w:highlight w:val="none"/>
          <w:lang w:val="zh-CN" w:eastAsia="zh-CN"/>
        </w:rPr>
        <w:t>比上年增加2.39万元，增长2172.73%，主要原因是：</w:t>
      </w:r>
      <w:r>
        <w:rPr>
          <w:rFonts w:hint="eastAsia" w:eastAsia="仿宋_GB2312" w:cs="Times New Roman"/>
          <w:color w:val="auto"/>
          <w:sz w:val="32"/>
          <w:szCs w:val="32"/>
          <w:highlight w:val="none"/>
          <w:lang w:val="en-US" w:eastAsia="zh-CN"/>
        </w:rPr>
        <w:t>上年因为疫情原因，很多工作未开展，本年社保、医保、其他工资福利支出、办公费、邮电费、劳务费、工会经费、福利费等支出均比上年增加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12.22万元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其中：政府采购货物支出0.26万元、政府采购工程支出0.00万元、政府采购服务支出11.96万元。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授予中小企业合同金额12.22万元，占政府采购支出总额的100.00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，其中：授予小微企业合同金额10.61万元，占政府采购支出总额的86.82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381.75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屋147.0平方米，价值13.67万元。车辆9辆，价值116.04万元，其中：副部（省）级及以上领导用车0辆、主要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w:t>
      </w:r>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zh-CN" w:eastAsia="zh-CN"/>
        </w:rPr>
        <w:t>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w:t>
      </w:r>
      <w:r>
        <w:rPr>
          <w:rFonts w:hint="eastAsia"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lang w:val="zh-CN" w:eastAsia="zh-CN"/>
        </w:rPr>
        <w:t>辆，其他用车主要是：</w:t>
      </w:r>
      <w:r>
        <w:rPr>
          <w:rFonts w:hint="eastAsia" w:ascii="Times New Roman" w:hAnsi="Times New Roman" w:eastAsia="方正仿宋_GBK" w:cs="Times New Roman"/>
          <w:color w:val="auto"/>
          <w:sz w:val="31"/>
          <w:szCs w:val="31"/>
          <w:highlight w:val="none"/>
          <w:lang w:val="en-US" w:eastAsia="zh-CN"/>
        </w:rPr>
        <w:t>人影作业专用车辆 9 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预算总额112.62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112.62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全年执行数35.49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ascii="仿宋" w:hAnsi="仿宋" w:eastAsia="仿宋" w:cs="仿宋"/>
          <w:color w:val="auto"/>
          <w:kern w:val="0"/>
          <w:sz w:val="31"/>
          <w:szCs w:val="31"/>
          <w:highlight w:val="none"/>
          <w:lang w:val="en-US" w:eastAsia="zh-CN" w:bidi="ar"/>
        </w:rPr>
        <w:t>一是严格履行审批手续。明</w:t>
      </w:r>
      <w:r>
        <w:rPr>
          <w:rFonts w:hint="eastAsia" w:ascii="仿宋" w:hAnsi="仿宋" w:eastAsia="仿宋" w:cs="仿宋"/>
          <w:color w:val="auto"/>
          <w:kern w:val="0"/>
          <w:sz w:val="31"/>
          <w:szCs w:val="31"/>
          <w:highlight w:val="none"/>
          <w:lang w:val="en-US" w:eastAsia="zh-CN" w:bidi="ar"/>
        </w:rPr>
        <w:t>确审批权限，对每项支出都制定了专门的审批程序，严格按 照审批制度执行，坚决实行报账审批“一支笔”，重大开支经委党组集体研究；积极推行公务卡结算，财务一般不以现 金方式支付报账款或借款；设备购置及政府购买服务一律履 行政府采购程序，办公用品采取集中定点采购；会议费、差旅费、培训费和“三公”经费</w:t>
      </w:r>
      <w:bookmarkStart w:id="48" w:name="_GoBack"/>
      <w:bookmarkEnd w:id="48"/>
      <w:r>
        <w:rPr>
          <w:rFonts w:hint="eastAsia" w:ascii="仿宋" w:hAnsi="仿宋" w:eastAsia="仿宋" w:cs="仿宋"/>
          <w:color w:val="auto"/>
          <w:kern w:val="0"/>
          <w:sz w:val="31"/>
          <w:szCs w:val="31"/>
          <w:highlight w:val="none"/>
          <w:lang w:val="en-US" w:eastAsia="zh-CN" w:bidi="ar"/>
        </w:rPr>
        <w:t>一律按标准执行，做到附件依据齐全，杜绝一切超标准、超预算的开支；从严从紧控制聘、借用人员，严格聘、借用审批程序和合同管理。二是强化项目资金管理，对项目实施、资金投向及调度安排、固定资产购置及交付使用进行跟踪管理，项目负责人定期向主管领导汇报项目实施进展和资金使用情况，确保项目资金专款专用，并保证项目如期保质完成。三是严格预算支出管理。在支出预算编制上，人员经费按照配置定额，逐人核定编制，公用经费分类分档，按定额编制；根据“总量控制、计划管理”的要求从严控制行政经费，压缩公务开支，严格控制“三公”经费，资产的配置严格政府采购，按照预算科目和项目资金的规定使用财政资金，保障部门整体支出的规范化、制度化。</w:t>
      </w:r>
      <w:r>
        <w:rPr>
          <w:rFonts w:hint="eastAsia" w:ascii="仿宋_GB2312" w:eastAsia="仿宋_GB2312"/>
          <w:color w:val="auto"/>
          <w:sz w:val="32"/>
          <w:szCs w:val="32"/>
          <w:highlight w:val="none"/>
          <w:lang w:eastAsia="zh-CN"/>
        </w:rPr>
        <w:t>发现的问题及原因：</w:t>
      </w:r>
      <w:r>
        <w:rPr>
          <w:rFonts w:hint="eastAsia" w:ascii="仿宋" w:hAnsi="仿宋" w:eastAsia="仿宋" w:cs="仿宋"/>
          <w:color w:val="auto"/>
          <w:kern w:val="0"/>
          <w:sz w:val="31"/>
          <w:szCs w:val="31"/>
          <w:highlight w:val="none"/>
          <w:lang w:val="en-US" w:eastAsia="zh-CN" w:bidi="ar"/>
        </w:rPr>
        <w:t>一是预算需要细致；二是项目管理需要严格。</w:t>
      </w:r>
      <w:r>
        <w:rPr>
          <w:rFonts w:hint="eastAsia" w:ascii="仿宋_GB2312" w:eastAsia="仿宋_GB2312"/>
          <w:color w:val="auto"/>
          <w:sz w:val="32"/>
          <w:szCs w:val="32"/>
          <w:highlight w:val="none"/>
          <w:lang w:eastAsia="zh-CN"/>
        </w:rPr>
        <w:t>下一步改进措施：一是强化绩效目标管理；二是完善预算执行监控机制。</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0288" behindDoc="0" locked="0" layoutInCell="1" allowOverlap="1">
            <wp:simplePos x="0" y="0"/>
            <wp:positionH relativeFrom="column">
              <wp:posOffset>-694690</wp:posOffset>
            </wp:positionH>
            <wp:positionV relativeFrom="paragraph">
              <wp:posOffset>87630</wp:posOffset>
            </wp:positionV>
            <wp:extent cx="6677660" cy="8335645"/>
            <wp:effectExtent l="0" t="0" r="8890" b="825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6677660" cy="8335645"/>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2336" behindDoc="0" locked="0" layoutInCell="1" allowOverlap="1">
            <wp:simplePos x="0" y="0"/>
            <wp:positionH relativeFrom="column">
              <wp:posOffset>-704215</wp:posOffset>
            </wp:positionH>
            <wp:positionV relativeFrom="paragraph">
              <wp:posOffset>89535</wp:posOffset>
            </wp:positionV>
            <wp:extent cx="6643370" cy="8502015"/>
            <wp:effectExtent l="0" t="0" r="5080" b="1333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643370" cy="8502015"/>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3360" behindDoc="0" locked="0" layoutInCell="1" allowOverlap="1">
            <wp:simplePos x="0" y="0"/>
            <wp:positionH relativeFrom="column">
              <wp:posOffset>-637540</wp:posOffset>
            </wp:positionH>
            <wp:positionV relativeFrom="paragraph">
              <wp:posOffset>97155</wp:posOffset>
            </wp:positionV>
            <wp:extent cx="6562725" cy="8500110"/>
            <wp:effectExtent l="0" t="0" r="9525" b="1524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6562725" cy="850011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4384" behindDoc="0" locked="0" layoutInCell="1" allowOverlap="1">
            <wp:simplePos x="0" y="0"/>
            <wp:positionH relativeFrom="column">
              <wp:posOffset>-647700</wp:posOffset>
            </wp:positionH>
            <wp:positionV relativeFrom="paragraph">
              <wp:posOffset>68580</wp:posOffset>
            </wp:positionV>
            <wp:extent cx="6530340" cy="8651240"/>
            <wp:effectExtent l="0" t="0" r="3810" b="16510"/>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6530340" cy="865124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5408" behindDoc="0" locked="0" layoutInCell="1" allowOverlap="1">
            <wp:simplePos x="0" y="0"/>
            <wp:positionH relativeFrom="column">
              <wp:posOffset>-638175</wp:posOffset>
            </wp:positionH>
            <wp:positionV relativeFrom="paragraph">
              <wp:posOffset>78105</wp:posOffset>
            </wp:positionV>
            <wp:extent cx="6502400" cy="8498205"/>
            <wp:effectExtent l="0" t="0" r="12700" b="17145"/>
            <wp:wrapSquare wrapText="bothSides"/>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6502400" cy="8498205"/>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6432" behindDoc="0" locked="0" layoutInCell="1" allowOverlap="1">
            <wp:simplePos x="0" y="0"/>
            <wp:positionH relativeFrom="column">
              <wp:posOffset>-675640</wp:posOffset>
            </wp:positionH>
            <wp:positionV relativeFrom="paragraph">
              <wp:posOffset>76200</wp:posOffset>
            </wp:positionV>
            <wp:extent cx="6600825" cy="8620125"/>
            <wp:effectExtent l="0" t="0" r="9525" b="9525"/>
            <wp:wrapSquare wrapText="bothSides"/>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6600825" cy="8620125"/>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7456" behindDoc="0" locked="0" layoutInCell="1" allowOverlap="1">
            <wp:simplePos x="0" y="0"/>
            <wp:positionH relativeFrom="column">
              <wp:posOffset>-694690</wp:posOffset>
            </wp:positionH>
            <wp:positionV relativeFrom="paragraph">
              <wp:posOffset>30480</wp:posOffset>
            </wp:positionV>
            <wp:extent cx="6603365" cy="3799840"/>
            <wp:effectExtent l="0" t="0" r="6985" b="10160"/>
            <wp:wrapSquare wrapText="bothSides"/>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6603365" cy="379984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8480" behindDoc="0" locked="0" layoutInCell="1" allowOverlap="1">
            <wp:simplePos x="0" y="0"/>
            <wp:positionH relativeFrom="column">
              <wp:posOffset>-676275</wp:posOffset>
            </wp:positionH>
            <wp:positionV relativeFrom="paragraph">
              <wp:posOffset>11430</wp:posOffset>
            </wp:positionV>
            <wp:extent cx="6627495" cy="4197350"/>
            <wp:effectExtent l="0" t="0" r="1905" b="12700"/>
            <wp:wrapSquare wrapText="bothSides"/>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6627495" cy="419735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anchor distT="0" distB="0" distL="114300" distR="114300" simplePos="0" relativeHeight="251669504" behindDoc="0" locked="0" layoutInCell="1" allowOverlap="1">
            <wp:simplePos x="0" y="0"/>
            <wp:positionH relativeFrom="column">
              <wp:posOffset>-675640</wp:posOffset>
            </wp:positionH>
            <wp:positionV relativeFrom="paragraph">
              <wp:posOffset>20955</wp:posOffset>
            </wp:positionV>
            <wp:extent cx="6586220" cy="4252595"/>
            <wp:effectExtent l="0" t="0" r="5080" b="14605"/>
            <wp:wrapSquare wrapText="bothSides"/>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3"/>
                    <a:stretch>
                      <a:fillRect/>
                    </a:stretch>
                  </pic:blipFill>
                  <pic:spPr>
                    <a:xfrm>
                      <a:off x="0" y="0"/>
                      <a:ext cx="6586220" cy="4252595"/>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eastAsia="zh-CN"/>
        </w:rPr>
      </w:pPr>
      <w:r>
        <w:drawing>
          <wp:anchor distT="0" distB="0" distL="114300" distR="114300" simplePos="0" relativeHeight="251661312" behindDoc="0" locked="0" layoutInCell="1" allowOverlap="1">
            <wp:simplePos x="0" y="0"/>
            <wp:positionH relativeFrom="column">
              <wp:posOffset>-819150</wp:posOffset>
            </wp:positionH>
            <wp:positionV relativeFrom="paragraph">
              <wp:posOffset>-8344535</wp:posOffset>
            </wp:positionV>
            <wp:extent cx="6651625" cy="3647440"/>
            <wp:effectExtent l="0" t="0" r="15875" b="10160"/>
            <wp:wrapSquare wrapText="bothSides"/>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4"/>
                    <a:stretch>
                      <a:fillRect/>
                    </a:stretch>
                  </pic:blipFill>
                  <pic:spPr>
                    <a:xfrm>
                      <a:off x="0" y="0"/>
                      <a:ext cx="6651625" cy="3647440"/>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E8A6A8-F742-4092-83E7-355F9777514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DDFBA62E-1396-4FF6-AE2E-50D5B9752891}"/>
  </w:font>
  <w:font w:name="仿宋_GB2312">
    <w:panose1 w:val="02010609030101010101"/>
    <w:charset w:val="86"/>
    <w:family w:val="modern"/>
    <w:pitch w:val="default"/>
    <w:sig w:usb0="00000001" w:usb1="080E0000" w:usb2="00000000" w:usb3="00000000" w:csb0="00040000" w:csb1="00000000"/>
    <w:embedRegular r:id="rId3" w:fontKey="{0652DB65-5B18-4A0C-9F82-0E1F643F7271}"/>
  </w:font>
  <w:font w:name="方正仿宋_GBK">
    <w:panose1 w:val="03000509000000000000"/>
    <w:charset w:val="86"/>
    <w:family w:val="auto"/>
    <w:pitch w:val="default"/>
    <w:sig w:usb0="00000001" w:usb1="080E0000" w:usb2="00000000" w:usb3="00000000" w:csb0="00040000" w:csb1="00000000"/>
    <w:embedRegular r:id="rId4" w:fontKey="{37F423BD-3466-40B0-B82C-52BEA1644950}"/>
  </w:font>
  <w:font w:name="仿宋">
    <w:panose1 w:val="02010609060101010101"/>
    <w:charset w:val="86"/>
    <w:family w:val="auto"/>
    <w:pitch w:val="default"/>
    <w:sig w:usb0="800002BF" w:usb1="38CF7CFA" w:usb2="00000016" w:usb3="00000000" w:csb0="00040001" w:csb1="00000000"/>
    <w:embedRegular r:id="rId5" w:fontKey="{81D00DA2-0BE9-4195-9A94-EDB51BF1324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hZjlkMGJiOGI3Y2FkNzkyZTA5YzhkZjJjZTBiYjcifQ=="/>
    <w:docVar w:name="KSO_WPS_MARK_KEY" w:val="41ee2a61-2d54-4f93-83be-afdb9a40d732"/>
  </w:docVars>
  <w:rsids>
    <w:rsidRoot w:val="00000000"/>
    <w:rsid w:val="00213C59"/>
    <w:rsid w:val="003210CE"/>
    <w:rsid w:val="009A5857"/>
    <w:rsid w:val="00B70D59"/>
    <w:rsid w:val="00F52A8D"/>
    <w:rsid w:val="012F485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7A31495"/>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775C2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9E6986"/>
    <w:rsid w:val="0DEA5178"/>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B54E07"/>
    <w:rsid w:val="16D50C50"/>
    <w:rsid w:val="16E120E1"/>
    <w:rsid w:val="17385A05"/>
    <w:rsid w:val="173B3901"/>
    <w:rsid w:val="176747F9"/>
    <w:rsid w:val="17954A6E"/>
    <w:rsid w:val="180059E9"/>
    <w:rsid w:val="184510FD"/>
    <w:rsid w:val="190648B0"/>
    <w:rsid w:val="19071D6C"/>
    <w:rsid w:val="19D26CD4"/>
    <w:rsid w:val="19E60D19"/>
    <w:rsid w:val="1A3E3450"/>
    <w:rsid w:val="1AD807E5"/>
    <w:rsid w:val="1B255B36"/>
    <w:rsid w:val="1B39345B"/>
    <w:rsid w:val="1BE03901"/>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144D6D"/>
    <w:rsid w:val="282459E2"/>
    <w:rsid w:val="283A7FE5"/>
    <w:rsid w:val="285F51FF"/>
    <w:rsid w:val="289042BB"/>
    <w:rsid w:val="28DF2665"/>
    <w:rsid w:val="29072599"/>
    <w:rsid w:val="291029F3"/>
    <w:rsid w:val="29CB58F0"/>
    <w:rsid w:val="2A053397"/>
    <w:rsid w:val="2A145E96"/>
    <w:rsid w:val="2A2131BB"/>
    <w:rsid w:val="2AF5378F"/>
    <w:rsid w:val="2B1C4BAB"/>
    <w:rsid w:val="2BB94DBF"/>
    <w:rsid w:val="2C6F314E"/>
    <w:rsid w:val="2CC206BE"/>
    <w:rsid w:val="2CEB28A0"/>
    <w:rsid w:val="2D1136DF"/>
    <w:rsid w:val="2D20606D"/>
    <w:rsid w:val="2D466307"/>
    <w:rsid w:val="2DB87198"/>
    <w:rsid w:val="2DB93C54"/>
    <w:rsid w:val="2E3D144C"/>
    <w:rsid w:val="2E891204"/>
    <w:rsid w:val="2EB21A9F"/>
    <w:rsid w:val="2F3F0A28"/>
    <w:rsid w:val="2FBF7029"/>
    <w:rsid w:val="2FD0187F"/>
    <w:rsid w:val="2FD27414"/>
    <w:rsid w:val="2FFE4BB0"/>
    <w:rsid w:val="300E7B60"/>
    <w:rsid w:val="300F6E18"/>
    <w:rsid w:val="30862F5F"/>
    <w:rsid w:val="30A90C5A"/>
    <w:rsid w:val="30B212F8"/>
    <w:rsid w:val="314029C9"/>
    <w:rsid w:val="31C63837"/>
    <w:rsid w:val="31C82E39"/>
    <w:rsid w:val="32601BAD"/>
    <w:rsid w:val="32692B04"/>
    <w:rsid w:val="329F6389"/>
    <w:rsid w:val="3389023A"/>
    <w:rsid w:val="33CB74FA"/>
    <w:rsid w:val="343642F2"/>
    <w:rsid w:val="343F3010"/>
    <w:rsid w:val="345D0A00"/>
    <w:rsid w:val="34713BFD"/>
    <w:rsid w:val="34C13589"/>
    <w:rsid w:val="353369E3"/>
    <w:rsid w:val="35E00D72"/>
    <w:rsid w:val="36812BAA"/>
    <w:rsid w:val="36965B9D"/>
    <w:rsid w:val="36C549FD"/>
    <w:rsid w:val="37174BEB"/>
    <w:rsid w:val="37A755DD"/>
    <w:rsid w:val="37F94FA0"/>
    <w:rsid w:val="380D3381"/>
    <w:rsid w:val="38115B1F"/>
    <w:rsid w:val="38244579"/>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776E8"/>
    <w:rsid w:val="3EBF1A11"/>
    <w:rsid w:val="3EC52607"/>
    <w:rsid w:val="3EEC6CEF"/>
    <w:rsid w:val="3F183429"/>
    <w:rsid w:val="3F7F4F93"/>
    <w:rsid w:val="3F9C26D2"/>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7ED066F"/>
    <w:rsid w:val="48387FB0"/>
    <w:rsid w:val="483A6114"/>
    <w:rsid w:val="488727DB"/>
    <w:rsid w:val="48B82268"/>
    <w:rsid w:val="48C354B3"/>
    <w:rsid w:val="48D46448"/>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982244"/>
    <w:rsid w:val="4EFD18DE"/>
    <w:rsid w:val="4F0B3174"/>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06128D"/>
    <w:rsid w:val="591B41B2"/>
    <w:rsid w:val="59254A26"/>
    <w:rsid w:val="59326325"/>
    <w:rsid w:val="595C505B"/>
    <w:rsid w:val="595E55C3"/>
    <w:rsid w:val="596E7E20"/>
    <w:rsid w:val="59D71626"/>
    <w:rsid w:val="5A60780B"/>
    <w:rsid w:val="5AB34579"/>
    <w:rsid w:val="5AFC6609"/>
    <w:rsid w:val="5B113480"/>
    <w:rsid w:val="5BD456CE"/>
    <w:rsid w:val="5C0D1F49"/>
    <w:rsid w:val="5CBB0CE2"/>
    <w:rsid w:val="5CC17177"/>
    <w:rsid w:val="5CF306BC"/>
    <w:rsid w:val="5CF324D6"/>
    <w:rsid w:val="5D3F3D64"/>
    <w:rsid w:val="5D7161CA"/>
    <w:rsid w:val="5D833043"/>
    <w:rsid w:val="5DD92690"/>
    <w:rsid w:val="5DDB1CFD"/>
    <w:rsid w:val="5E7E6D93"/>
    <w:rsid w:val="5ED44800"/>
    <w:rsid w:val="5F350BDE"/>
    <w:rsid w:val="5F61632C"/>
    <w:rsid w:val="5FA17648"/>
    <w:rsid w:val="5FE705CB"/>
    <w:rsid w:val="60367D41"/>
    <w:rsid w:val="603D5080"/>
    <w:rsid w:val="60C9523E"/>
    <w:rsid w:val="60D0261B"/>
    <w:rsid w:val="618E3791"/>
    <w:rsid w:val="61947DCA"/>
    <w:rsid w:val="61A46A97"/>
    <w:rsid w:val="61D1382F"/>
    <w:rsid w:val="61DF45F7"/>
    <w:rsid w:val="61F114A2"/>
    <w:rsid w:val="62512BB4"/>
    <w:rsid w:val="625D7D1A"/>
    <w:rsid w:val="62DD7D21"/>
    <w:rsid w:val="637D586B"/>
    <w:rsid w:val="63A5560B"/>
    <w:rsid w:val="63E9091F"/>
    <w:rsid w:val="64322AF9"/>
    <w:rsid w:val="64D6010D"/>
    <w:rsid w:val="64D82665"/>
    <w:rsid w:val="64E47C96"/>
    <w:rsid w:val="651E5741"/>
    <w:rsid w:val="657D39B9"/>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103EE2"/>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B81079"/>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5888</Words>
  <Characters>6501</Characters>
  <Lines>0</Lines>
  <Paragraphs>0</Paragraphs>
  <TotalTime>0</TotalTime>
  <ScaleCrop>false</ScaleCrop>
  <LinksUpToDate>false</LinksUpToDate>
  <CharactersWithSpaces>6530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YIKNETHNIGJXR97</cp:lastModifiedBy>
  <dcterms:modified xsi:type="dcterms:W3CDTF">2025-02-06T09:11:09Z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y fmtid="{D5CDD505-2E9C-101B-9397-08002B2CF9AE}" pid="4" name="KSOTemplateDocerSaveRecord">
    <vt:lpwstr>eyJoZGlkIjoiMDhjYmMxN2RkYWY5M2IxNzliNmU0ZjcxYTIyYTJlODkiLCJ1c2VySWQiOiI1MzMyNjY2NjMifQ==</vt:lpwstr>
  </property>
</Properties>
</file>