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after="0" w:line="560" w:lineRule="exact"/>
        <w:contextualSpacing/>
        <w:jc w:val="both"/>
        <w:textAlignment w:val="auto"/>
        <w:rPr>
          <w:rFonts w:hint="eastAsia"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zh-CN" w:eastAsia="zh-CN"/>
        </w:rPr>
        <w:t>附件</w:t>
      </w:r>
      <w:r>
        <w:rPr>
          <w:rFonts w:hint="eastAsia" w:ascii="Times New Roman" w:hAnsi="Times New Roman" w:eastAsia="方正仿宋_GBK" w:cs="Times New Roman"/>
          <w:color w:val="000000"/>
          <w:sz w:val="32"/>
          <w:szCs w:val="32"/>
          <w:lang w:val="en-US" w:eastAsia="zh-CN"/>
        </w:rPr>
        <w:t>1：</w:t>
      </w:r>
    </w:p>
    <w:p>
      <w:pPr>
        <w:pStyle w:val="2"/>
        <w:rPr>
          <w:rFonts w:hint="default"/>
          <w:lang w:val="en-US" w:eastAsia="zh-CN"/>
        </w:rPr>
      </w:pPr>
    </w:p>
    <w:p>
      <w:pPr>
        <w:adjustRightInd/>
        <w:snapToGrid/>
        <w:spacing w:after="0" w:line="610" w:lineRule="exact"/>
        <w:contextualSpacing/>
        <w:jc w:val="center"/>
        <w:rPr>
          <w:rFonts w:hint="eastAsia" w:ascii="方正小标宋_GBK" w:hAnsi="宋体" w:eastAsia="方正小标宋_GBK" w:cs="宋体"/>
          <w:b w:val="0"/>
          <w:bCs w:val="0"/>
          <w:color w:val="000000" w:themeColor="text1"/>
          <w:sz w:val="40"/>
          <w:szCs w:val="40"/>
          <w14:textFill>
            <w14:solidFill>
              <w14:schemeClr w14:val="tx1"/>
            </w14:solidFill>
          </w14:textFill>
        </w:rPr>
      </w:pPr>
      <w:r>
        <w:rPr>
          <w:rFonts w:hint="eastAsia" w:ascii="方正小标宋_GBK" w:hAnsi="宋体" w:eastAsia="方正小标宋_GBK" w:cs="宋体"/>
          <w:b w:val="0"/>
          <w:bCs w:val="0"/>
          <w:color w:val="000000" w:themeColor="text1"/>
          <w:sz w:val="40"/>
          <w:szCs w:val="40"/>
          <w14:textFill>
            <w14:solidFill>
              <w14:schemeClr w14:val="tx1"/>
            </w14:solidFill>
          </w14:textFill>
        </w:rPr>
        <w:t>202</w:t>
      </w:r>
      <w:r>
        <w:rPr>
          <w:rFonts w:hint="eastAsia" w:ascii="方正小标宋_GBK" w:hAnsi="宋体" w:eastAsia="方正小标宋_GBK" w:cs="宋体"/>
          <w:b w:val="0"/>
          <w:bCs w:val="0"/>
          <w:color w:val="000000" w:themeColor="text1"/>
          <w:sz w:val="40"/>
          <w:szCs w:val="40"/>
          <w:lang w:val="en-US" w:eastAsia="zh-CN"/>
          <w14:textFill>
            <w14:solidFill>
              <w14:schemeClr w14:val="tx1"/>
            </w14:solidFill>
          </w14:textFill>
        </w:rPr>
        <w:t>3年度</w:t>
      </w:r>
      <w:r>
        <w:rPr>
          <w:rFonts w:hint="eastAsia" w:ascii="方正小标宋_GBK" w:hAnsi="宋体" w:eastAsia="方正小标宋_GBK" w:cs="宋体"/>
          <w:b w:val="0"/>
          <w:bCs w:val="0"/>
          <w:color w:val="000000" w:themeColor="text1"/>
          <w:sz w:val="40"/>
          <w:szCs w:val="40"/>
          <w14:textFill>
            <w14:solidFill>
              <w14:schemeClr w14:val="tx1"/>
            </w14:solidFill>
          </w14:textFill>
        </w:rPr>
        <w:t>库尔勒市</w:t>
      </w:r>
    </w:p>
    <w:p>
      <w:pPr>
        <w:adjustRightInd/>
        <w:snapToGrid/>
        <w:spacing w:after="0" w:line="610" w:lineRule="exact"/>
        <w:contextualSpacing/>
        <w:jc w:val="center"/>
        <w:rPr>
          <w:rFonts w:ascii="方正小标宋_GBK" w:hAnsi="宋体" w:eastAsia="方正小标宋_GBK" w:cs="宋体"/>
          <w:b w:val="0"/>
          <w:bCs w:val="0"/>
          <w:color w:val="000000" w:themeColor="text1"/>
          <w:sz w:val="40"/>
          <w:szCs w:val="40"/>
          <w14:textFill>
            <w14:solidFill>
              <w14:schemeClr w14:val="tx1"/>
            </w14:solidFill>
          </w14:textFill>
        </w:rPr>
      </w:pPr>
      <w:r>
        <w:rPr>
          <w:rFonts w:hint="eastAsia" w:ascii="方正小标宋_GBK" w:hAnsi="宋体" w:eastAsia="方正小标宋_GBK" w:cs="宋体"/>
          <w:b w:val="0"/>
          <w:bCs w:val="0"/>
          <w:color w:val="000000" w:themeColor="text1"/>
          <w:sz w:val="40"/>
          <w:szCs w:val="40"/>
          <w:lang w:eastAsia="zh-CN"/>
          <w14:textFill>
            <w14:solidFill>
              <w14:schemeClr w14:val="tx1"/>
            </w14:solidFill>
          </w14:textFill>
        </w:rPr>
        <w:t>创新型县（市）建设项目</w:t>
      </w:r>
      <w:r>
        <w:rPr>
          <w:rFonts w:hint="eastAsia" w:ascii="方正小标宋_GBK" w:hAnsi="宋体" w:eastAsia="方正小标宋_GBK" w:cs="宋体"/>
          <w:b w:val="0"/>
          <w:bCs w:val="0"/>
          <w:color w:val="000000" w:themeColor="text1"/>
          <w:sz w:val="40"/>
          <w:szCs w:val="40"/>
          <w14:textFill>
            <w14:solidFill>
              <w14:schemeClr w14:val="tx1"/>
            </w14:solidFill>
          </w14:textFill>
        </w:rPr>
        <w:t>申报指南</w:t>
      </w:r>
    </w:p>
    <w:p>
      <w:pPr>
        <w:adjustRightInd/>
        <w:snapToGrid/>
        <w:spacing w:after="0" w:line="610" w:lineRule="exact"/>
        <w:contextualSpacing/>
        <w:jc w:val="both"/>
        <w:rPr>
          <w:rFonts w:ascii="方正仿宋_GBK" w:eastAsia="方正仿宋_GBK"/>
          <w:color w:val="000000" w:themeColor="text1"/>
          <w:sz w:val="31"/>
          <w:szCs w:val="31"/>
          <w14:textFill>
            <w14:solidFill>
              <w14:schemeClr w14:val="tx1"/>
            </w14:solidFill>
          </w14:textFill>
        </w:rPr>
      </w:pPr>
    </w:p>
    <w:p>
      <w:pPr>
        <w:keepNext w:val="0"/>
        <w:keepLines w:val="0"/>
        <w:pageBreakBefore w:val="0"/>
        <w:widowControl/>
        <w:kinsoku/>
        <w:wordWrap/>
        <w:overflowPunct/>
        <w:topLinePunct w:val="0"/>
        <w:autoSpaceDE/>
        <w:autoSpaceDN/>
        <w:bidi w:val="0"/>
        <w:adjustRightInd/>
        <w:snapToGrid/>
        <w:spacing w:after="0" w:line="560" w:lineRule="exact"/>
        <w:ind w:firstLine="620" w:firstLineChars="200"/>
        <w:contextualSpacing/>
        <w:jc w:val="both"/>
        <w:textAlignment w:val="auto"/>
        <w:rPr>
          <w:rFonts w:hint="eastAsia" w:ascii="方正仿宋_GBK" w:hAnsi="宋体" w:eastAsia="方正仿宋_GBK"/>
          <w:color w:val="000000"/>
          <w:sz w:val="31"/>
          <w:szCs w:val="31"/>
          <w:lang w:val="en-US" w:eastAsia="zh-CN"/>
        </w:rPr>
      </w:pPr>
      <w:r>
        <w:rPr>
          <w:rFonts w:hint="eastAsia" w:ascii="方正仿宋_GBK" w:hAnsi="宋体" w:eastAsia="方正仿宋_GBK"/>
          <w:color w:val="000000"/>
          <w:sz w:val="31"/>
          <w:szCs w:val="31"/>
          <w:lang w:eastAsia="zh-CN"/>
        </w:rPr>
        <w:t>为</w:t>
      </w:r>
      <w:r>
        <w:rPr>
          <w:rFonts w:hint="eastAsia" w:ascii="方正仿宋_GBK" w:hAnsi="方正仿宋_GBK" w:eastAsia="方正仿宋_GBK" w:cs="方正仿宋_GBK"/>
          <w:sz w:val="31"/>
          <w:szCs w:val="31"/>
          <w:u w:val="none"/>
          <w:lang w:val="en-US" w:eastAsia="zh-CN"/>
        </w:rPr>
        <w:t>贯彻落实</w:t>
      </w:r>
      <w:r>
        <w:rPr>
          <w:rFonts w:hint="eastAsia" w:ascii="仿宋" w:hAnsi="仿宋" w:eastAsia="仿宋" w:cs="仿宋"/>
          <w:sz w:val="31"/>
          <w:szCs w:val="31"/>
          <w:u w:val="none"/>
          <w:lang w:val="en-US" w:eastAsia="zh-CN"/>
        </w:rPr>
        <w:t>自治区、自治州、库尔勒市科技创新大会精神，</w:t>
      </w:r>
      <w:r>
        <w:rPr>
          <w:rFonts w:hint="eastAsia" w:ascii="方正仿宋_GBK" w:hAnsi="宋体" w:eastAsia="方正仿宋_GBK"/>
          <w:color w:val="000000"/>
          <w:sz w:val="31"/>
          <w:szCs w:val="31"/>
          <w:lang w:val="zh-CN"/>
        </w:rPr>
        <w:t>深入实施创新驱动发展战略、科技兴</w:t>
      </w:r>
      <w:r>
        <w:rPr>
          <w:rFonts w:hint="eastAsia" w:ascii="方正仿宋_GBK" w:hAnsi="宋体" w:eastAsia="方正仿宋_GBK"/>
          <w:color w:val="000000"/>
          <w:sz w:val="31"/>
          <w:szCs w:val="31"/>
          <w:lang w:val="zh-CN" w:eastAsia="zh-CN"/>
        </w:rPr>
        <w:t>市</w:t>
      </w:r>
      <w:r>
        <w:rPr>
          <w:rFonts w:hint="eastAsia" w:ascii="方正仿宋_GBK" w:hAnsi="宋体" w:eastAsia="方正仿宋_GBK"/>
          <w:color w:val="000000"/>
          <w:sz w:val="31"/>
          <w:szCs w:val="31"/>
          <w:lang w:val="zh-CN"/>
        </w:rPr>
        <w:t>战略和人才强市战略</w:t>
      </w:r>
      <w:r>
        <w:rPr>
          <w:rFonts w:hint="eastAsia" w:ascii="方正仿宋_GBK" w:hAnsi="宋体" w:eastAsia="方正仿宋_GBK"/>
          <w:color w:val="000000"/>
          <w:sz w:val="31"/>
          <w:szCs w:val="31"/>
          <w:lang w:val="en-US" w:eastAsia="zh-CN"/>
        </w:rPr>
        <w:t>，</w:t>
      </w:r>
      <w:r>
        <w:rPr>
          <w:rFonts w:hint="eastAsia" w:ascii="方正仿宋_GBK" w:hAnsi="方正仿宋_GBK" w:eastAsia="方正仿宋_GBK" w:cs="方正仿宋_GBK"/>
          <w:color w:val="auto"/>
          <w:kern w:val="56"/>
          <w:sz w:val="31"/>
          <w:szCs w:val="31"/>
          <w:u w:val="none"/>
          <w:lang w:val="en-US" w:eastAsia="zh-CN" w:bidi="ar-SA"/>
        </w:rPr>
        <w:t>培养和引进优秀青年</w:t>
      </w:r>
      <w:r>
        <w:rPr>
          <w:rFonts w:hint="eastAsia" w:ascii="方正仿宋_GBK" w:hAnsi="方正仿宋_GBK" w:eastAsia="方正仿宋_GBK" w:cs="方正仿宋_GBK"/>
          <w:color w:val="auto"/>
          <w:kern w:val="56"/>
          <w:sz w:val="31"/>
          <w:szCs w:val="31"/>
          <w:u w:val="none"/>
        </w:rPr>
        <w:t>科技人才</w:t>
      </w:r>
      <w:r>
        <w:rPr>
          <w:rFonts w:hint="eastAsia" w:ascii="方正仿宋_GBK" w:hAnsi="方正仿宋_GBK" w:eastAsia="方正仿宋_GBK" w:cs="方正仿宋_GBK"/>
          <w:color w:val="auto"/>
          <w:kern w:val="56"/>
          <w:sz w:val="31"/>
          <w:szCs w:val="31"/>
          <w:u w:val="none"/>
          <w:lang w:eastAsia="zh-CN"/>
        </w:rPr>
        <w:t>，</w:t>
      </w:r>
      <w:r>
        <w:rPr>
          <w:rFonts w:hint="eastAsia" w:ascii="方正仿宋_GBK" w:hAnsi="方正仿宋_GBK" w:eastAsia="方正仿宋_GBK" w:cs="方正仿宋_GBK"/>
          <w:color w:val="auto"/>
          <w:kern w:val="56"/>
          <w:sz w:val="31"/>
          <w:szCs w:val="31"/>
          <w:u w:val="none"/>
          <w:lang w:val="en-US" w:eastAsia="zh-CN" w:bidi="ar-SA"/>
        </w:rPr>
        <w:t>培养承担关键核心技术攻关、</w:t>
      </w:r>
      <w:r>
        <w:rPr>
          <w:rFonts w:hint="eastAsia" w:ascii="方正仿宋_GBK" w:hAnsi="方正仿宋_GBK" w:eastAsia="方正仿宋_GBK" w:cs="方正仿宋_GBK"/>
          <w:color w:val="auto"/>
          <w:kern w:val="56"/>
          <w:sz w:val="31"/>
          <w:szCs w:val="31"/>
          <w:u w:val="none"/>
          <w:lang w:val="en-US" w:eastAsia="zh-CN"/>
        </w:rPr>
        <w:t>原创性引领性技术研发的重点领域创新团队，</w:t>
      </w:r>
      <w:r>
        <w:rPr>
          <w:rFonts w:hint="eastAsia" w:ascii="方正仿宋_GBK" w:hAnsi="方正仿宋_GBK" w:eastAsia="方正仿宋_GBK" w:cs="方正仿宋_GBK"/>
          <w:sz w:val="31"/>
          <w:szCs w:val="31"/>
          <w:u w:val="none"/>
          <w:lang w:val="en-US" w:eastAsia="zh-CN"/>
        </w:rPr>
        <w:t>进一步推动科技创新平台完善功能与发挥作用，加快推进创新型城市建设，</w:t>
      </w:r>
      <w:r>
        <w:rPr>
          <w:rFonts w:hint="eastAsia" w:ascii="方正仿宋_GBK" w:hAnsi="宋体" w:eastAsia="方正仿宋_GBK"/>
          <w:color w:val="000000"/>
          <w:sz w:val="31"/>
          <w:szCs w:val="31"/>
          <w:lang w:val="en-US" w:eastAsia="zh-CN"/>
        </w:rPr>
        <w:t>特制定《</w:t>
      </w:r>
      <w:r>
        <w:rPr>
          <w:rFonts w:hint="default" w:ascii="Times New Roman" w:hAnsi="Times New Roman" w:eastAsia="方正仿宋_GBK" w:cs="Times New Roman"/>
          <w:color w:val="000000"/>
          <w:sz w:val="31"/>
          <w:szCs w:val="31"/>
          <w:lang w:val="en-US" w:eastAsia="zh-CN"/>
        </w:rPr>
        <w:t>2023</w:t>
      </w:r>
      <w:r>
        <w:rPr>
          <w:rFonts w:hint="eastAsia" w:ascii="Times New Roman" w:hAnsi="Times New Roman" w:eastAsia="方正仿宋_GBK" w:cs="Times New Roman"/>
          <w:color w:val="000000"/>
          <w:sz w:val="31"/>
          <w:szCs w:val="31"/>
          <w:lang w:val="en-US" w:eastAsia="zh-CN"/>
        </w:rPr>
        <w:t>年度库尔勒市创新型县（市）建设项目</w:t>
      </w:r>
      <w:r>
        <w:rPr>
          <w:rFonts w:hint="eastAsia" w:ascii="方正仿宋_GBK" w:hAnsi="宋体" w:eastAsia="方正仿宋_GBK"/>
          <w:color w:val="000000"/>
          <w:sz w:val="31"/>
          <w:szCs w:val="31"/>
          <w:lang w:val="en-US" w:eastAsia="zh-CN"/>
        </w:rPr>
        <w:t>申报指南》。</w:t>
      </w:r>
    </w:p>
    <w:p>
      <w:pPr>
        <w:keepNext w:val="0"/>
        <w:keepLines w:val="0"/>
        <w:pageBreakBefore w:val="0"/>
        <w:widowControl/>
        <w:numPr>
          <w:ilvl w:val="0"/>
          <w:numId w:val="0"/>
        </w:numPr>
        <w:kinsoku/>
        <w:wordWrap/>
        <w:overflowPunct/>
        <w:topLinePunct w:val="0"/>
        <w:autoSpaceDE/>
        <w:autoSpaceDN/>
        <w:bidi w:val="0"/>
        <w:adjustRightInd/>
        <w:snapToGrid/>
        <w:spacing w:after="0" w:line="560" w:lineRule="exact"/>
        <w:ind w:firstLine="620" w:firstLineChars="200"/>
        <w:contextualSpacing/>
        <w:jc w:val="both"/>
        <w:textAlignment w:val="auto"/>
        <w:rPr>
          <w:rFonts w:hint="eastAsia" w:ascii="方正黑体_GBK" w:hAnsi="黑体" w:eastAsia="方正黑体_GBK" w:cs="黑体"/>
          <w:bCs/>
          <w:color w:val="000000" w:themeColor="text1"/>
          <w:sz w:val="31"/>
          <w:szCs w:val="31"/>
          <w14:textFill>
            <w14:solidFill>
              <w14:schemeClr w14:val="tx1"/>
            </w14:solidFill>
          </w14:textFill>
        </w:rPr>
      </w:pPr>
      <w:r>
        <w:rPr>
          <w:rFonts w:hint="eastAsia" w:ascii="方正黑体_GBK" w:hAnsi="黑体" w:eastAsia="方正黑体_GBK" w:cs="黑体"/>
          <w:bCs/>
          <w:color w:val="000000" w:themeColor="text1"/>
          <w:sz w:val="31"/>
          <w:szCs w:val="31"/>
          <w:lang w:eastAsia="zh-CN"/>
          <w14:textFill>
            <w14:solidFill>
              <w14:schemeClr w14:val="tx1"/>
            </w14:solidFill>
          </w14:textFill>
        </w:rPr>
        <w:t>一、</w:t>
      </w:r>
      <w:r>
        <w:rPr>
          <w:rFonts w:hint="eastAsia" w:ascii="方正黑体_GBK" w:hAnsi="黑体" w:eastAsia="方正黑体_GBK" w:cs="黑体"/>
          <w:bCs/>
          <w:color w:val="000000" w:themeColor="text1"/>
          <w:sz w:val="31"/>
          <w:szCs w:val="31"/>
          <w14:textFill>
            <w14:solidFill>
              <w14:schemeClr w14:val="tx1"/>
            </w14:solidFill>
          </w14:textFill>
        </w:rPr>
        <w:t>计划类别</w:t>
      </w:r>
    </w:p>
    <w:p>
      <w:pPr>
        <w:keepNext w:val="0"/>
        <w:keepLines w:val="0"/>
        <w:pageBreakBefore w:val="0"/>
        <w:widowControl/>
        <w:numPr>
          <w:ilvl w:val="0"/>
          <w:numId w:val="0"/>
        </w:numPr>
        <w:kinsoku/>
        <w:wordWrap/>
        <w:overflowPunct/>
        <w:topLinePunct w:val="0"/>
        <w:autoSpaceDE/>
        <w:autoSpaceDN/>
        <w:bidi w:val="0"/>
        <w:adjustRightInd/>
        <w:snapToGrid/>
        <w:spacing w:after="0" w:line="560" w:lineRule="exact"/>
        <w:ind w:firstLine="620" w:firstLineChars="200"/>
        <w:contextualSpacing/>
        <w:jc w:val="both"/>
        <w:textAlignment w:val="auto"/>
        <w:rPr>
          <w:rFonts w:hint="eastAsia" w:ascii="方正楷体_GBK" w:hAnsi="方正楷体_GBK" w:eastAsia="方正楷体_GBK" w:cs="方正楷体_GBK"/>
          <w:color w:val="000000" w:themeColor="text1"/>
          <w:sz w:val="31"/>
          <w:szCs w:val="31"/>
          <w14:textFill>
            <w14:solidFill>
              <w14:schemeClr w14:val="tx1"/>
            </w14:solidFill>
          </w14:textFill>
        </w:rPr>
      </w:pPr>
      <w:r>
        <w:rPr>
          <w:rFonts w:hint="eastAsia" w:ascii="方正楷体_GBK" w:hAnsi="方正楷体_GBK" w:eastAsia="方正楷体_GBK" w:cs="方正楷体_GBK"/>
          <w:color w:val="000000" w:themeColor="text1"/>
          <w:sz w:val="31"/>
          <w:szCs w:val="31"/>
          <w14:textFill>
            <w14:solidFill>
              <w14:schemeClr w14:val="tx1"/>
            </w14:solidFill>
          </w14:textFill>
        </w:rPr>
        <w:t>（一）</w:t>
      </w:r>
      <w:r>
        <w:rPr>
          <w:rFonts w:hint="eastAsia" w:ascii="方正楷体_GBK" w:hAnsi="方正楷体_GBK" w:eastAsia="方正楷体_GBK" w:cs="方正楷体_GBK"/>
          <w:color w:val="000000" w:themeColor="text1"/>
          <w:sz w:val="31"/>
          <w:szCs w:val="31"/>
          <w:lang w:eastAsia="zh-CN"/>
          <w14:textFill>
            <w14:solidFill>
              <w14:schemeClr w14:val="tx1"/>
            </w14:solidFill>
          </w14:textFill>
        </w:rPr>
        <w:t>创新平台</w:t>
      </w:r>
      <w:r>
        <w:rPr>
          <w:rFonts w:hint="eastAsia" w:ascii="方正楷体_GBK" w:hAnsi="方正楷体_GBK" w:eastAsia="方正楷体_GBK" w:cs="方正楷体_GBK"/>
          <w:color w:val="000000" w:themeColor="text1"/>
          <w:sz w:val="31"/>
          <w:szCs w:val="31"/>
          <w14:textFill>
            <w14:solidFill>
              <w14:schemeClr w14:val="tx1"/>
            </w14:solidFill>
          </w14:textFill>
        </w:rPr>
        <w:t>专项</w:t>
      </w:r>
    </w:p>
    <w:p>
      <w:pPr>
        <w:keepNext w:val="0"/>
        <w:keepLines w:val="0"/>
        <w:pageBreakBefore w:val="0"/>
        <w:widowControl/>
        <w:kinsoku/>
        <w:wordWrap/>
        <w:overflowPunct/>
        <w:topLinePunct w:val="0"/>
        <w:autoSpaceDE/>
        <w:autoSpaceDN/>
        <w:bidi w:val="0"/>
        <w:adjustRightInd/>
        <w:snapToGrid/>
        <w:spacing w:after="0" w:line="560" w:lineRule="exact"/>
        <w:ind w:firstLine="622" w:firstLineChars="200"/>
        <w:contextualSpacing/>
        <w:jc w:val="both"/>
        <w:textAlignment w:val="auto"/>
        <w:rPr>
          <w:rFonts w:hint="eastAsia" w:ascii="Times New Roman" w:hAnsi="Times New Roman" w:eastAsia="方正仿宋_GBK" w:cs="Times New Roman"/>
          <w:b/>
          <w:bCs/>
          <w:color w:val="000000"/>
          <w:sz w:val="31"/>
          <w:szCs w:val="31"/>
          <w:lang w:val="en-US" w:eastAsia="zh-CN"/>
        </w:rPr>
      </w:pPr>
      <w:r>
        <w:rPr>
          <w:rFonts w:hint="eastAsia" w:ascii="Times New Roman" w:hAnsi="Times New Roman" w:eastAsia="方正仿宋_GBK" w:cs="Times New Roman"/>
          <w:b/>
          <w:bCs/>
          <w:color w:val="000000"/>
          <w:sz w:val="31"/>
          <w:szCs w:val="31"/>
          <w:lang w:val="en-US" w:eastAsia="zh-CN"/>
        </w:rPr>
        <w:t>1、科技创新平台建设项目</w:t>
      </w:r>
    </w:p>
    <w:p>
      <w:pPr>
        <w:keepNext w:val="0"/>
        <w:keepLines w:val="0"/>
        <w:pageBreakBefore w:val="0"/>
        <w:widowControl/>
        <w:kinsoku/>
        <w:wordWrap/>
        <w:overflowPunct/>
        <w:topLinePunct w:val="0"/>
        <w:autoSpaceDE/>
        <w:autoSpaceDN/>
        <w:bidi w:val="0"/>
        <w:adjustRightInd/>
        <w:snapToGrid/>
        <w:spacing w:after="0" w:line="560" w:lineRule="exact"/>
        <w:ind w:firstLine="620" w:firstLineChars="200"/>
        <w:contextualSpacing/>
        <w:jc w:val="both"/>
        <w:textAlignment w:val="auto"/>
        <w:rPr>
          <w:rFonts w:hint="eastAsia" w:ascii="Times New Roman" w:hAnsi="Times New Roman" w:eastAsia="方正仿宋_GBK" w:cs="Times New Roman"/>
          <w:color w:val="000000"/>
          <w:sz w:val="31"/>
          <w:szCs w:val="31"/>
          <w:lang w:val="en-US" w:eastAsia="zh-CN"/>
        </w:rPr>
      </w:pPr>
      <w:r>
        <w:rPr>
          <w:rFonts w:hint="eastAsia" w:ascii="Times New Roman" w:hAnsi="Times New Roman" w:eastAsia="方正仿宋_GBK" w:cs="Times New Roman"/>
          <w:color w:val="000000"/>
          <w:sz w:val="31"/>
          <w:szCs w:val="31"/>
          <w:lang w:val="en-US" w:eastAsia="zh-CN"/>
        </w:rPr>
        <w:t>（1）以库尔勒市创新需求为导向，支持农业科技示范基地、科技特派员工作站、科技孵化器、众创空间、星创天地、技术转移中心、公共科技服务平台、重点实验室、新型研发机构、创新联合体等，围绕特色产业和区域发展需求进一步完善区域创新体系而实施的技术创新公共服务平台建设项目，提升平台面向企业技术创新共性需求提供条件资源、技术成果转化与推广、产业技术人才培训与交流等公共服务的能力。培训活动为主的项目不予支持。申报单位应具有提供技术创新公共服务的能力和条件，并已为一定数量的企业提供过服务。</w:t>
      </w:r>
    </w:p>
    <w:p>
      <w:pPr>
        <w:keepNext w:val="0"/>
        <w:keepLines w:val="0"/>
        <w:pageBreakBefore w:val="0"/>
        <w:widowControl/>
        <w:kinsoku/>
        <w:wordWrap/>
        <w:overflowPunct/>
        <w:topLinePunct w:val="0"/>
        <w:autoSpaceDE/>
        <w:autoSpaceDN/>
        <w:bidi w:val="0"/>
        <w:adjustRightInd/>
        <w:snapToGrid/>
        <w:spacing w:after="0" w:line="560" w:lineRule="exact"/>
        <w:ind w:firstLine="620" w:firstLineChars="200"/>
        <w:contextualSpacing/>
        <w:jc w:val="both"/>
        <w:textAlignment w:val="auto"/>
        <w:rPr>
          <w:rFonts w:hint="eastAsia" w:ascii="Times New Roman" w:hAnsi="Times New Roman" w:eastAsia="方正仿宋_GBK" w:cs="Times New Roman"/>
          <w:color w:val="000000"/>
          <w:sz w:val="31"/>
          <w:szCs w:val="31"/>
          <w:lang w:val="en-US" w:eastAsia="zh-CN"/>
        </w:rPr>
      </w:pPr>
      <w:r>
        <w:rPr>
          <w:rFonts w:hint="eastAsia" w:ascii="Times New Roman" w:hAnsi="Times New Roman" w:eastAsia="方正仿宋_GBK" w:cs="Times New Roman"/>
          <w:color w:val="000000"/>
          <w:sz w:val="31"/>
          <w:szCs w:val="31"/>
          <w:lang w:val="en-US" w:eastAsia="zh-CN"/>
        </w:rPr>
        <w:t>（2）对建设目标为自治区级、国家级平台且在两年内可以完成创建目标的项目予以重点支持，承担单位需在项目执行期内完成自治区级、国家级相关资质认定或通过绩效评估；对在库尔勒市落地建设飞地孵化器、产学研联合基地等招商引资、招商引智前景好，条件优良的项目给以重点支持。</w:t>
      </w:r>
    </w:p>
    <w:p>
      <w:pPr>
        <w:keepNext w:val="0"/>
        <w:keepLines w:val="0"/>
        <w:pageBreakBefore w:val="0"/>
        <w:widowControl/>
        <w:kinsoku/>
        <w:wordWrap/>
        <w:overflowPunct/>
        <w:topLinePunct w:val="0"/>
        <w:autoSpaceDE/>
        <w:autoSpaceDN/>
        <w:bidi w:val="0"/>
        <w:adjustRightInd/>
        <w:snapToGrid/>
        <w:spacing w:after="0" w:line="560" w:lineRule="exact"/>
        <w:ind w:firstLine="620" w:firstLineChars="200"/>
        <w:contextualSpacing/>
        <w:jc w:val="both"/>
        <w:textAlignment w:val="auto"/>
        <w:rPr>
          <w:rFonts w:hint="eastAsia" w:ascii="Times New Roman" w:hAnsi="Times New Roman" w:eastAsia="方正仿宋_GBK" w:cs="Times New Roman"/>
          <w:color w:val="000000"/>
          <w:sz w:val="31"/>
          <w:szCs w:val="31"/>
          <w:lang w:val="en-US" w:eastAsia="zh-CN"/>
        </w:rPr>
      </w:pPr>
      <w:r>
        <w:rPr>
          <w:rFonts w:hint="eastAsia" w:ascii="Times New Roman" w:hAnsi="Times New Roman" w:eastAsia="方正仿宋_GBK" w:cs="Times New Roman"/>
          <w:color w:val="000000"/>
          <w:sz w:val="31"/>
          <w:szCs w:val="31"/>
          <w:lang w:val="en-US" w:eastAsia="zh-CN"/>
        </w:rPr>
        <w:t>（3）针对在库尔勒市域内注册的科技服务机构、科技中介机构申报的项目，在项目实施期内成功孵化高新技术企业（获得证书）数量在10家以上的，或所服务的本地高新技术企业（注册地在库尔勒市域内不含经开区）研发费用累计</w:t>
      </w:r>
      <w:r>
        <w:rPr>
          <w:rFonts w:hint="eastAsia" w:ascii="Times New Roman" w:hAnsi="Times New Roman" w:eastAsia="方正仿宋_GBK" w:cs="Times New Roman"/>
          <w:color w:val="000000"/>
          <w:sz w:val="31"/>
          <w:szCs w:val="31"/>
          <w:highlight w:val="none"/>
          <w:lang w:val="en-US" w:eastAsia="zh-CN"/>
        </w:rPr>
        <w:t>在100万元</w:t>
      </w:r>
      <w:r>
        <w:rPr>
          <w:rFonts w:hint="eastAsia" w:ascii="Times New Roman" w:hAnsi="Times New Roman" w:eastAsia="方正仿宋_GBK" w:cs="Times New Roman"/>
          <w:color w:val="000000"/>
          <w:sz w:val="31"/>
          <w:szCs w:val="31"/>
          <w:lang w:val="en-US" w:eastAsia="zh-CN"/>
        </w:rPr>
        <w:t>以上的予以重点支持。</w:t>
      </w:r>
    </w:p>
    <w:p>
      <w:pPr>
        <w:keepNext w:val="0"/>
        <w:keepLines w:val="0"/>
        <w:pageBreakBefore w:val="0"/>
        <w:widowControl/>
        <w:kinsoku/>
        <w:wordWrap/>
        <w:overflowPunct/>
        <w:topLinePunct w:val="0"/>
        <w:autoSpaceDE/>
        <w:autoSpaceDN/>
        <w:bidi w:val="0"/>
        <w:adjustRightInd/>
        <w:snapToGrid/>
        <w:spacing w:after="0" w:line="560" w:lineRule="exact"/>
        <w:ind w:firstLine="622" w:firstLineChars="200"/>
        <w:contextualSpacing/>
        <w:jc w:val="both"/>
        <w:textAlignment w:val="auto"/>
        <w:rPr>
          <w:rFonts w:hint="eastAsia" w:ascii="Times New Roman" w:hAnsi="Times New Roman" w:eastAsia="方正仿宋_GBK" w:cs="Times New Roman"/>
          <w:color w:val="000000"/>
          <w:sz w:val="31"/>
          <w:szCs w:val="31"/>
          <w:lang w:val="en-US" w:eastAsia="zh-CN"/>
        </w:rPr>
      </w:pPr>
      <w:r>
        <w:rPr>
          <w:rFonts w:hint="eastAsia" w:ascii="Times New Roman" w:hAnsi="Times New Roman" w:eastAsia="方正仿宋_GBK" w:cs="Times New Roman"/>
          <w:b/>
          <w:bCs/>
          <w:color w:val="000000"/>
          <w:sz w:val="31"/>
          <w:szCs w:val="31"/>
          <w:lang w:val="en-US" w:eastAsia="zh-CN"/>
        </w:rPr>
        <w:t>2、智慧城市服务平台建设项目：</w:t>
      </w:r>
      <w:r>
        <w:rPr>
          <w:rFonts w:hint="eastAsia" w:ascii="Times New Roman" w:hAnsi="Times New Roman" w:eastAsia="方正仿宋_GBK" w:cs="Times New Roman"/>
          <w:color w:val="000000"/>
          <w:sz w:val="31"/>
          <w:szCs w:val="31"/>
          <w:lang w:val="en-US" w:eastAsia="zh-CN"/>
        </w:rPr>
        <w:t>突出“互联网+民生”“互联网+先进制造业” 围绕超前布局信息基础设施、加速普及智慧民生应用、加快发展数字经济，实施基础设施提档升级、服务能力优化、民生服务便捷普惠、数字经济融合发展等方面项目。</w:t>
      </w:r>
    </w:p>
    <w:p>
      <w:pPr>
        <w:keepNext w:val="0"/>
        <w:keepLines w:val="0"/>
        <w:pageBreakBefore w:val="0"/>
        <w:widowControl/>
        <w:numPr>
          <w:ilvl w:val="0"/>
          <w:numId w:val="0"/>
        </w:numPr>
        <w:kinsoku/>
        <w:wordWrap/>
        <w:overflowPunct/>
        <w:topLinePunct w:val="0"/>
        <w:autoSpaceDE/>
        <w:autoSpaceDN/>
        <w:bidi w:val="0"/>
        <w:adjustRightInd/>
        <w:snapToGrid/>
        <w:spacing w:after="0" w:line="560" w:lineRule="exact"/>
        <w:ind w:firstLine="620" w:firstLineChars="200"/>
        <w:contextualSpacing/>
        <w:jc w:val="both"/>
        <w:textAlignment w:val="auto"/>
        <w:rPr>
          <w:rFonts w:hint="eastAsia" w:ascii="方正楷体_GBK" w:hAnsi="方正楷体_GBK" w:eastAsia="方正楷体_GBK" w:cs="方正楷体_GBK"/>
          <w:color w:val="000000" w:themeColor="text1"/>
          <w:sz w:val="31"/>
          <w:szCs w:val="31"/>
          <w14:textFill>
            <w14:solidFill>
              <w14:schemeClr w14:val="tx1"/>
            </w14:solidFill>
          </w14:textFill>
        </w:rPr>
      </w:pPr>
      <w:r>
        <w:rPr>
          <w:rFonts w:hint="eastAsia" w:ascii="方正楷体_GBK" w:hAnsi="方正楷体_GBK" w:eastAsia="方正楷体_GBK" w:cs="方正楷体_GBK"/>
          <w:color w:val="000000" w:themeColor="text1"/>
          <w:sz w:val="31"/>
          <w:szCs w:val="31"/>
          <w14:textFill>
            <w14:solidFill>
              <w14:schemeClr w14:val="tx1"/>
            </w14:solidFill>
          </w14:textFill>
        </w:rPr>
        <w:t>（</w:t>
      </w:r>
      <w:r>
        <w:rPr>
          <w:rFonts w:hint="eastAsia" w:ascii="方正楷体_GBK" w:hAnsi="方正楷体_GBK" w:eastAsia="方正楷体_GBK" w:cs="方正楷体_GBK"/>
          <w:color w:val="000000" w:themeColor="text1"/>
          <w:sz w:val="31"/>
          <w:szCs w:val="31"/>
          <w:lang w:eastAsia="zh-CN"/>
          <w14:textFill>
            <w14:solidFill>
              <w14:schemeClr w14:val="tx1"/>
            </w14:solidFill>
          </w14:textFill>
        </w:rPr>
        <w:t>二</w:t>
      </w:r>
      <w:r>
        <w:rPr>
          <w:rFonts w:hint="eastAsia" w:ascii="方正楷体_GBK" w:hAnsi="方正楷体_GBK" w:eastAsia="方正楷体_GBK" w:cs="方正楷体_GBK"/>
          <w:color w:val="000000" w:themeColor="text1"/>
          <w:sz w:val="31"/>
          <w:szCs w:val="31"/>
          <w14:textFill>
            <w14:solidFill>
              <w14:schemeClr w14:val="tx1"/>
            </w14:solidFill>
          </w14:textFill>
        </w:rPr>
        <w:t>）</w:t>
      </w:r>
      <w:r>
        <w:rPr>
          <w:rFonts w:hint="eastAsia" w:ascii="方正楷体_GBK" w:hAnsi="方正楷体_GBK" w:eastAsia="方正楷体_GBK" w:cs="方正楷体_GBK"/>
          <w:color w:val="000000" w:themeColor="text1"/>
          <w:sz w:val="31"/>
          <w:szCs w:val="31"/>
          <w:lang w:eastAsia="zh-CN"/>
          <w14:textFill>
            <w14:solidFill>
              <w14:schemeClr w14:val="tx1"/>
            </w14:solidFill>
          </w14:textFill>
        </w:rPr>
        <w:t>科技人才</w:t>
      </w:r>
      <w:r>
        <w:rPr>
          <w:rFonts w:hint="eastAsia" w:ascii="方正楷体_GBK" w:hAnsi="方正楷体_GBK" w:eastAsia="方正楷体_GBK" w:cs="方正楷体_GBK"/>
          <w:color w:val="000000" w:themeColor="text1"/>
          <w:sz w:val="31"/>
          <w:szCs w:val="31"/>
          <w14:textFill>
            <w14:solidFill>
              <w14:schemeClr w14:val="tx1"/>
            </w14:solidFill>
          </w14:textFill>
        </w:rPr>
        <w:t>专项</w:t>
      </w:r>
    </w:p>
    <w:p>
      <w:pPr>
        <w:keepNext w:val="0"/>
        <w:keepLines w:val="0"/>
        <w:pageBreakBefore w:val="0"/>
        <w:widowControl/>
        <w:kinsoku/>
        <w:wordWrap/>
        <w:overflowPunct/>
        <w:topLinePunct w:val="0"/>
        <w:autoSpaceDE/>
        <w:autoSpaceDN/>
        <w:bidi w:val="0"/>
        <w:adjustRightInd/>
        <w:snapToGrid/>
        <w:spacing w:after="0" w:line="560" w:lineRule="exact"/>
        <w:ind w:firstLine="622" w:firstLineChars="200"/>
        <w:contextualSpacing/>
        <w:jc w:val="both"/>
        <w:textAlignment w:val="auto"/>
        <w:rPr>
          <w:rFonts w:hint="eastAsia" w:ascii="Times New Roman" w:hAnsi="Times New Roman" w:eastAsia="方正仿宋_GBK" w:cs="Times New Roman"/>
          <w:color w:val="000000"/>
          <w:sz w:val="31"/>
          <w:szCs w:val="31"/>
          <w:lang w:val="en-US" w:eastAsia="zh-CN"/>
        </w:rPr>
      </w:pPr>
      <w:r>
        <w:rPr>
          <w:rFonts w:hint="eastAsia" w:ascii="Times New Roman" w:hAnsi="Times New Roman" w:eastAsia="方正仿宋_GBK" w:cs="Times New Roman"/>
          <w:b/>
          <w:bCs/>
          <w:color w:val="000000"/>
          <w:sz w:val="31"/>
          <w:szCs w:val="31"/>
          <w:lang w:val="en-US" w:eastAsia="zh-CN"/>
        </w:rPr>
        <w:t>1、科技创业领军人才项目：</w:t>
      </w:r>
      <w:r>
        <w:rPr>
          <w:rFonts w:hint="eastAsia" w:ascii="Times New Roman" w:hAnsi="Times New Roman" w:eastAsia="方正仿宋_GBK" w:cs="Times New Roman"/>
          <w:color w:val="000000"/>
          <w:sz w:val="31"/>
          <w:szCs w:val="31"/>
          <w:lang w:val="en-US" w:eastAsia="zh-CN"/>
        </w:rPr>
        <w:t>重点支持创业人员带项目、带技术、带资金，在库尔勒市依靠科技创新开展创新创业。申报人应为所申报单位的主要创办人，股权一般不低于10%（含技术入股）。具有一定研发、管理工作经历或自主创业经历，在产品开发和企业经营管理方面具有一定的实践经验。有明确的研发目标和发展规划，有持续创新能力和较好的发展前景。创业项目主导产品具有较好市场前景和产业化潜力。</w:t>
      </w:r>
    </w:p>
    <w:p>
      <w:pPr>
        <w:keepNext w:val="0"/>
        <w:keepLines w:val="0"/>
        <w:pageBreakBefore w:val="0"/>
        <w:widowControl/>
        <w:kinsoku/>
        <w:wordWrap/>
        <w:overflowPunct/>
        <w:topLinePunct w:val="0"/>
        <w:autoSpaceDE/>
        <w:autoSpaceDN/>
        <w:bidi w:val="0"/>
        <w:adjustRightInd/>
        <w:snapToGrid/>
        <w:spacing w:after="0" w:line="560" w:lineRule="exact"/>
        <w:ind w:firstLine="622" w:firstLineChars="200"/>
        <w:contextualSpacing/>
        <w:jc w:val="both"/>
        <w:textAlignment w:val="auto"/>
        <w:rPr>
          <w:rFonts w:hint="eastAsia" w:ascii="Times New Roman" w:hAnsi="Times New Roman" w:eastAsia="方正仿宋_GBK" w:cs="Times New Roman"/>
          <w:color w:val="000000"/>
          <w:sz w:val="31"/>
          <w:szCs w:val="31"/>
          <w:lang w:val="en-US" w:eastAsia="zh-CN"/>
        </w:rPr>
      </w:pPr>
      <w:r>
        <w:rPr>
          <w:rFonts w:hint="eastAsia" w:ascii="Times New Roman" w:hAnsi="Times New Roman" w:eastAsia="方正仿宋_GBK" w:cs="Times New Roman"/>
          <w:b/>
          <w:bCs/>
          <w:color w:val="000000"/>
          <w:sz w:val="31"/>
          <w:szCs w:val="31"/>
          <w:lang w:val="en-US" w:eastAsia="zh-CN"/>
        </w:rPr>
        <w:t>2、科技创新领军人才项目：</w:t>
      </w:r>
      <w:r>
        <w:rPr>
          <w:rFonts w:hint="eastAsia" w:ascii="Times New Roman" w:hAnsi="Times New Roman" w:eastAsia="方正仿宋_GBK" w:cs="Times New Roman"/>
          <w:color w:val="000000"/>
          <w:sz w:val="31"/>
          <w:szCs w:val="31"/>
          <w:lang w:val="en-US" w:eastAsia="zh-CN"/>
        </w:rPr>
        <w:t>申报人需是创新团队带头人，围绕库尔勒市经济社会发展的需求开展科学研究、技术开发或成果转化，有较强的领军才能和团队组织管理能力。申报人主要服务单位应是库尔勒市域内独立注册的事业单位或企业。</w:t>
      </w:r>
    </w:p>
    <w:p>
      <w:pPr>
        <w:keepNext w:val="0"/>
        <w:keepLines w:val="0"/>
        <w:pageBreakBefore w:val="0"/>
        <w:widowControl/>
        <w:numPr>
          <w:ilvl w:val="0"/>
          <w:numId w:val="0"/>
        </w:numPr>
        <w:kinsoku/>
        <w:wordWrap/>
        <w:overflowPunct/>
        <w:topLinePunct w:val="0"/>
        <w:autoSpaceDE/>
        <w:autoSpaceDN/>
        <w:bidi w:val="0"/>
        <w:adjustRightInd/>
        <w:snapToGrid/>
        <w:spacing w:after="0" w:line="560" w:lineRule="exact"/>
        <w:ind w:firstLine="620" w:firstLineChars="200"/>
        <w:contextualSpacing/>
        <w:jc w:val="both"/>
        <w:textAlignment w:val="auto"/>
        <w:rPr>
          <w:rFonts w:hint="eastAsia" w:ascii="方正楷体_GBK" w:hAnsi="方正楷体_GBK" w:eastAsia="方正楷体_GBK" w:cs="方正楷体_GBK"/>
          <w:color w:val="000000" w:themeColor="text1"/>
          <w:sz w:val="31"/>
          <w:szCs w:val="31"/>
          <w:lang w:val="en-US" w:eastAsia="zh-CN"/>
          <w14:textFill>
            <w14:solidFill>
              <w14:schemeClr w14:val="tx1"/>
            </w14:solidFill>
          </w14:textFill>
        </w:rPr>
      </w:pPr>
      <w:r>
        <w:rPr>
          <w:rFonts w:hint="eastAsia" w:ascii="方正楷体_GBK" w:hAnsi="方正楷体_GBK" w:eastAsia="方正楷体_GBK" w:cs="方正楷体_GBK"/>
          <w:color w:val="000000" w:themeColor="text1"/>
          <w:sz w:val="31"/>
          <w:szCs w:val="31"/>
          <w:lang w:val="en-US" w:eastAsia="zh-CN"/>
          <w14:textFill>
            <w14:solidFill>
              <w14:schemeClr w14:val="tx1"/>
            </w14:solidFill>
          </w14:textFill>
        </w:rPr>
        <w:t>（三）科技协同创新专项</w:t>
      </w:r>
    </w:p>
    <w:p>
      <w:pPr>
        <w:keepNext w:val="0"/>
        <w:keepLines w:val="0"/>
        <w:pageBreakBefore w:val="0"/>
        <w:widowControl/>
        <w:numPr>
          <w:ilvl w:val="0"/>
          <w:numId w:val="0"/>
        </w:numPr>
        <w:kinsoku/>
        <w:wordWrap/>
        <w:overflowPunct/>
        <w:topLinePunct w:val="0"/>
        <w:autoSpaceDE/>
        <w:autoSpaceDN/>
        <w:bidi w:val="0"/>
        <w:adjustRightInd/>
        <w:snapToGrid/>
        <w:spacing w:after="0" w:line="560" w:lineRule="exact"/>
        <w:ind w:firstLine="620" w:firstLineChars="200"/>
        <w:contextualSpacing/>
        <w:jc w:val="both"/>
        <w:textAlignment w:val="auto"/>
        <w:rPr>
          <w:rFonts w:hint="eastAsia" w:ascii="Times New Roman" w:hAnsi="Times New Roman" w:eastAsia="方正仿宋_GBK" w:cs="Times New Roman"/>
          <w:color w:val="000000"/>
          <w:sz w:val="31"/>
          <w:szCs w:val="31"/>
          <w:lang w:val="en-US" w:eastAsia="zh-CN"/>
        </w:rPr>
      </w:pPr>
      <w:r>
        <w:rPr>
          <w:rFonts w:hint="eastAsia" w:ascii="Times New Roman" w:hAnsi="Times New Roman" w:eastAsia="方正仿宋_GBK" w:cs="Times New Roman"/>
          <w:color w:val="000000"/>
          <w:sz w:val="31"/>
          <w:szCs w:val="31"/>
          <w:lang w:val="en-US" w:eastAsia="zh-CN"/>
        </w:rPr>
        <w:t>支持高校、企业、科研院所结合库尔勒市经济、社会发展中的科技需求，开展科技合作，重点支持产业共性关键技术和产品的研发、社会公益技术研究、科技示范应用和成果转化、产学研用协同创新。项目申报单位须有明确的合作伙伴，具备一定的合作基础，就合作项目已签署有正式合作协议书或合作意向书，研发内容符合库尔勒市传统主导产业和战略性新兴产业发展的重大技术需求。</w:t>
      </w:r>
    </w:p>
    <w:p>
      <w:pPr>
        <w:keepNext w:val="0"/>
        <w:keepLines w:val="0"/>
        <w:pageBreakBefore w:val="0"/>
        <w:widowControl/>
        <w:numPr>
          <w:ilvl w:val="0"/>
          <w:numId w:val="0"/>
        </w:numPr>
        <w:kinsoku/>
        <w:wordWrap/>
        <w:overflowPunct/>
        <w:topLinePunct w:val="0"/>
        <w:autoSpaceDE/>
        <w:autoSpaceDN/>
        <w:bidi w:val="0"/>
        <w:adjustRightInd/>
        <w:snapToGrid/>
        <w:spacing w:after="0" w:line="560" w:lineRule="exact"/>
        <w:ind w:firstLine="620" w:firstLineChars="200"/>
        <w:contextualSpacing/>
        <w:jc w:val="both"/>
        <w:textAlignment w:val="auto"/>
        <w:rPr>
          <w:rFonts w:hint="eastAsia" w:ascii="方正楷体_GBK" w:hAnsi="方正楷体_GBK" w:eastAsia="方正楷体_GBK" w:cs="方正楷体_GBK"/>
          <w:color w:val="000000" w:themeColor="text1"/>
          <w:sz w:val="31"/>
          <w:szCs w:val="31"/>
          <w:lang w:val="en-US" w:eastAsia="zh-CN"/>
          <w14:textFill>
            <w14:solidFill>
              <w14:schemeClr w14:val="tx1"/>
            </w14:solidFill>
          </w14:textFill>
        </w:rPr>
      </w:pPr>
      <w:r>
        <w:rPr>
          <w:rFonts w:hint="eastAsia" w:ascii="方正楷体_GBK" w:hAnsi="方正楷体_GBK" w:eastAsia="方正楷体_GBK" w:cs="方正楷体_GBK"/>
          <w:color w:val="000000" w:themeColor="text1"/>
          <w:sz w:val="31"/>
          <w:szCs w:val="31"/>
          <w:lang w:val="en-US" w:eastAsia="zh-CN"/>
          <w14:textFill>
            <w14:solidFill>
              <w14:schemeClr w14:val="tx1"/>
            </w14:solidFill>
          </w14:textFill>
        </w:rPr>
        <w:t>（四）乡村振兴科技支撑专项</w:t>
      </w:r>
    </w:p>
    <w:p>
      <w:pPr>
        <w:keepNext w:val="0"/>
        <w:keepLines w:val="0"/>
        <w:pageBreakBefore w:val="0"/>
        <w:widowControl/>
        <w:kinsoku/>
        <w:wordWrap/>
        <w:overflowPunct/>
        <w:topLinePunct w:val="0"/>
        <w:autoSpaceDE/>
        <w:autoSpaceDN/>
        <w:bidi w:val="0"/>
        <w:adjustRightInd/>
        <w:snapToGrid/>
        <w:spacing w:after="0" w:line="560" w:lineRule="exact"/>
        <w:ind w:firstLine="620" w:firstLineChars="200"/>
        <w:contextualSpacing/>
        <w:jc w:val="both"/>
        <w:textAlignment w:val="auto"/>
        <w:rPr>
          <w:rFonts w:hint="eastAsia" w:ascii="Times New Roman" w:hAnsi="Times New Roman" w:eastAsia="方正仿宋_GBK" w:cs="Times New Roman"/>
          <w:color w:val="000000"/>
          <w:sz w:val="31"/>
          <w:szCs w:val="31"/>
          <w:lang w:val="en-US" w:eastAsia="zh-CN" w:bidi="ar-SA"/>
        </w:rPr>
      </w:pPr>
      <w:r>
        <w:rPr>
          <w:rFonts w:hint="eastAsia" w:ascii="Times New Roman" w:hAnsi="Times New Roman" w:eastAsia="方正仿宋_GBK" w:cs="Times New Roman"/>
          <w:color w:val="000000"/>
          <w:sz w:val="31"/>
          <w:szCs w:val="31"/>
          <w:lang w:val="en-US" w:eastAsia="zh-CN" w:bidi="ar-SA"/>
        </w:rPr>
        <w:t>依托农业科技进步，在注重新品种、新技术、新方法、新模式、新业态研究引进的同时，结合本地特点，积极探索和创新农业生产技术、方法、模式。</w:t>
      </w:r>
    </w:p>
    <w:p>
      <w:pPr>
        <w:keepNext w:val="0"/>
        <w:keepLines w:val="0"/>
        <w:pageBreakBefore w:val="0"/>
        <w:widowControl/>
        <w:kinsoku/>
        <w:wordWrap/>
        <w:overflowPunct/>
        <w:topLinePunct w:val="0"/>
        <w:autoSpaceDE/>
        <w:autoSpaceDN/>
        <w:bidi w:val="0"/>
        <w:adjustRightInd/>
        <w:snapToGrid/>
        <w:spacing w:after="0" w:line="560" w:lineRule="exact"/>
        <w:ind w:firstLine="622" w:firstLineChars="200"/>
        <w:contextualSpacing/>
        <w:jc w:val="both"/>
        <w:textAlignment w:val="auto"/>
        <w:rPr>
          <w:rFonts w:hint="eastAsia" w:ascii="Times New Roman" w:hAnsi="Times New Roman" w:eastAsia="方正仿宋_GBK" w:cs="Times New Roman"/>
          <w:color w:val="000000"/>
          <w:sz w:val="31"/>
          <w:szCs w:val="31"/>
          <w:lang w:val="en-US" w:eastAsia="zh-CN" w:bidi="ar-SA"/>
        </w:rPr>
      </w:pPr>
      <w:r>
        <w:rPr>
          <w:rFonts w:hint="eastAsia" w:ascii="Times New Roman" w:hAnsi="Times New Roman" w:eastAsia="方正仿宋_GBK" w:cs="Times New Roman"/>
          <w:b/>
          <w:bCs/>
          <w:color w:val="000000"/>
          <w:sz w:val="31"/>
          <w:szCs w:val="31"/>
          <w:lang w:val="en-US" w:eastAsia="zh-CN" w:bidi="ar-SA"/>
        </w:rPr>
        <w:t>1、种植业领域</w:t>
      </w:r>
      <w:r>
        <w:rPr>
          <w:rFonts w:hint="eastAsia" w:ascii="Times New Roman" w:hAnsi="Times New Roman" w:eastAsia="方正仿宋_GBK" w:cs="Times New Roman"/>
          <w:color w:val="000000"/>
          <w:sz w:val="31"/>
          <w:szCs w:val="31"/>
          <w:lang w:val="en-US" w:eastAsia="zh-CN" w:bidi="ar-SA"/>
        </w:rPr>
        <w:t>：围绕农民增收，开发和推广先进实用的农业标准化生产技术。加快推进特色农作物优良品种、模式化栽培、生物防治等农业科技成果和先进实用技术的示范、推广与应用，优良品种的引育、生产和监测管理，加强农作物有害生物预报监测与综合防控。</w:t>
      </w:r>
    </w:p>
    <w:p>
      <w:pPr>
        <w:keepNext w:val="0"/>
        <w:keepLines w:val="0"/>
        <w:pageBreakBefore w:val="0"/>
        <w:widowControl/>
        <w:kinsoku/>
        <w:wordWrap/>
        <w:overflowPunct/>
        <w:topLinePunct w:val="0"/>
        <w:autoSpaceDE/>
        <w:autoSpaceDN/>
        <w:bidi w:val="0"/>
        <w:adjustRightInd/>
        <w:snapToGrid/>
        <w:spacing w:after="0" w:line="560" w:lineRule="exact"/>
        <w:ind w:firstLine="622" w:firstLineChars="200"/>
        <w:contextualSpacing/>
        <w:jc w:val="both"/>
        <w:textAlignment w:val="auto"/>
        <w:rPr>
          <w:rFonts w:hint="eastAsia" w:ascii="Times New Roman" w:hAnsi="Times New Roman" w:eastAsia="方正仿宋_GBK" w:cs="Times New Roman"/>
          <w:color w:val="000000"/>
          <w:sz w:val="31"/>
          <w:szCs w:val="31"/>
          <w:lang w:val="en-US" w:eastAsia="zh-CN" w:bidi="ar-SA"/>
        </w:rPr>
      </w:pPr>
      <w:r>
        <w:rPr>
          <w:rFonts w:hint="eastAsia" w:ascii="Times New Roman" w:hAnsi="Times New Roman" w:eastAsia="方正仿宋_GBK" w:cs="Times New Roman"/>
          <w:b/>
          <w:bCs/>
          <w:color w:val="000000"/>
          <w:sz w:val="31"/>
          <w:szCs w:val="31"/>
          <w:lang w:val="en-US" w:eastAsia="zh-CN" w:bidi="ar-SA"/>
        </w:rPr>
        <w:t>2、养殖业领域：</w:t>
      </w:r>
      <w:r>
        <w:rPr>
          <w:rFonts w:hint="eastAsia" w:ascii="Times New Roman" w:hAnsi="Times New Roman" w:eastAsia="方正仿宋_GBK" w:cs="Times New Roman"/>
          <w:color w:val="000000"/>
          <w:sz w:val="31"/>
          <w:szCs w:val="31"/>
          <w:lang w:val="en-US" w:eastAsia="zh-CN" w:bidi="ar-SA"/>
        </w:rPr>
        <w:t>加强优势主导畜产品的现代产业技术研发，加大先进适用技术集成配套与转化应用，为促进畜牧业发展方式转变、综合生产能力提高和质量安全水平提高，提供科技支撑。</w:t>
      </w:r>
    </w:p>
    <w:p>
      <w:pPr>
        <w:keepNext w:val="0"/>
        <w:keepLines w:val="0"/>
        <w:pageBreakBefore w:val="0"/>
        <w:widowControl/>
        <w:kinsoku/>
        <w:wordWrap/>
        <w:overflowPunct/>
        <w:topLinePunct w:val="0"/>
        <w:autoSpaceDE/>
        <w:autoSpaceDN/>
        <w:bidi w:val="0"/>
        <w:adjustRightInd/>
        <w:snapToGrid/>
        <w:spacing w:after="0" w:line="560" w:lineRule="exact"/>
        <w:ind w:firstLine="622" w:firstLineChars="200"/>
        <w:contextualSpacing/>
        <w:jc w:val="both"/>
        <w:textAlignment w:val="auto"/>
        <w:rPr>
          <w:rFonts w:hint="eastAsia" w:ascii="Times New Roman" w:hAnsi="Times New Roman" w:eastAsia="方正仿宋_GBK" w:cs="Times New Roman"/>
          <w:color w:val="000000"/>
          <w:sz w:val="31"/>
          <w:szCs w:val="31"/>
          <w:lang w:val="en-US" w:eastAsia="zh-CN" w:bidi="ar-SA"/>
        </w:rPr>
      </w:pPr>
      <w:r>
        <w:rPr>
          <w:rFonts w:hint="eastAsia" w:ascii="Times New Roman" w:hAnsi="Times New Roman" w:eastAsia="方正仿宋_GBK" w:cs="Times New Roman"/>
          <w:b/>
          <w:bCs/>
          <w:color w:val="000000"/>
          <w:sz w:val="31"/>
          <w:szCs w:val="31"/>
          <w:lang w:val="en-US" w:eastAsia="zh-CN" w:bidi="ar-SA"/>
        </w:rPr>
        <w:t>3、农产品精深加工领域：</w:t>
      </w:r>
      <w:r>
        <w:rPr>
          <w:rFonts w:hint="eastAsia" w:ascii="Times New Roman" w:hAnsi="Times New Roman" w:eastAsia="方正仿宋_GBK" w:cs="Times New Roman"/>
          <w:color w:val="000000"/>
          <w:sz w:val="31"/>
          <w:szCs w:val="31"/>
          <w:lang w:val="en-US" w:eastAsia="zh-CN" w:bidi="ar-SA"/>
        </w:rPr>
        <w:t>加强农林牧产品精深加工领域技术、设备的研发与应用，延伸产业链，促进提升农产品加工安全性和附加值，带动农产品加工行业可持续发展。</w:t>
      </w:r>
    </w:p>
    <w:p>
      <w:pPr>
        <w:keepNext w:val="0"/>
        <w:keepLines w:val="0"/>
        <w:pageBreakBefore w:val="0"/>
        <w:widowControl/>
        <w:kinsoku/>
        <w:wordWrap/>
        <w:overflowPunct/>
        <w:topLinePunct w:val="0"/>
        <w:autoSpaceDE/>
        <w:autoSpaceDN/>
        <w:bidi w:val="0"/>
        <w:adjustRightInd/>
        <w:snapToGrid/>
        <w:spacing w:after="0" w:line="560" w:lineRule="exact"/>
        <w:ind w:firstLine="622" w:firstLineChars="200"/>
        <w:contextualSpacing/>
        <w:jc w:val="both"/>
        <w:textAlignment w:val="auto"/>
        <w:rPr>
          <w:rFonts w:hint="eastAsia" w:ascii="Times New Roman" w:hAnsi="Times New Roman" w:eastAsia="方正仿宋_GBK" w:cs="Times New Roman"/>
          <w:color w:val="000000"/>
          <w:sz w:val="31"/>
          <w:szCs w:val="31"/>
          <w:lang w:val="en-US" w:eastAsia="zh-CN" w:bidi="ar-SA"/>
        </w:rPr>
      </w:pPr>
      <w:r>
        <w:rPr>
          <w:rFonts w:hint="eastAsia" w:ascii="Times New Roman" w:hAnsi="Times New Roman" w:eastAsia="方正仿宋_GBK" w:cs="Times New Roman"/>
          <w:b/>
          <w:bCs/>
          <w:color w:val="000000"/>
          <w:sz w:val="31"/>
          <w:szCs w:val="31"/>
          <w:lang w:val="en-US" w:eastAsia="zh-CN" w:bidi="ar-SA"/>
        </w:rPr>
        <w:t>4、农机装备与新农村建设领域：</w:t>
      </w:r>
      <w:r>
        <w:rPr>
          <w:rFonts w:hint="eastAsia" w:ascii="Times New Roman" w:hAnsi="Times New Roman" w:eastAsia="方正仿宋_GBK" w:cs="Times New Roman"/>
          <w:color w:val="000000"/>
          <w:sz w:val="31"/>
          <w:szCs w:val="31"/>
          <w:lang w:val="en-US" w:eastAsia="zh-CN" w:bidi="ar-SA"/>
        </w:rPr>
        <w:t>开展农业装备技术研究与应用、农村新能源、新材料的综合开发利用，加快农业生产方式的转变，实现农业科技对新农村建设的推动作用。</w:t>
      </w:r>
    </w:p>
    <w:p>
      <w:pPr>
        <w:keepNext w:val="0"/>
        <w:keepLines w:val="0"/>
        <w:pageBreakBefore w:val="0"/>
        <w:widowControl/>
        <w:kinsoku/>
        <w:wordWrap/>
        <w:overflowPunct/>
        <w:topLinePunct w:val="0"/>
        <w:autoSpaceDE/>
        <w:autoSpaceDN/>
        <w:bidi w:val="0"/>
        <w:adjustRightInd/>
        <w:snapToGrid/>
        <w:spacing w:after="0" w:line="560" w:lineRule="exact"/>
        <w:ind w:firstLine="622" w:firstLineChars="200"/>
        <w:contextualSpacing/>
        <w:jc w:val="both"/>
        <w:textAlignment w:val="auto"/>
        <w:rPr>
          <w:rFonts w:hint="eastAsia" w:ascii="Times New Roman" w:hAnsi="Times New Roman" w:eastAsia="方正仿宋_GBK" w:cs="Times New Roman"/>
          <w:color w:val="000000"/>
          <w:sz w:val="31"/>
          <w:szCs w:val="31"/>
          <w:lang w:val="en-US" w:eastAsia="zh-CN" w:bidi="ar-SA"/>
        </w:rPr>
      </w:pPr>
      <w:r>
        <w:rPr>
          <w:rFonts w:hint="eastAsia" w:ascii="Times New Roman" w:hAnsi="Times New Roman" w:eastAsia="方正仿宋_GBK" w:cs="Times New Roman"/>
          <w:b/>
          <w:bCs/>
          <w:color w:val="000000"/>
          <w:sz w:val="31"/>
          <w:szCs w:val="31"/>
          <w:lang w:val="en-US" w:eastAsia="zh-CN" w:bidi="ar-SA"/>
        </w:rPr>
        <w:t>5、“互联网+”现代农业领域：</w:t>
      </w:r>
      <w:r>
        <w:rPr>
          <w:rFonts w:hint="eastAsia" w:ascii="Times New Roman" w:hAnsi="Times New Roman" w:eastAsia="方正仿宋_GBK" w:cs="Times New Roman"/>
          <w:color w:val="000000"/>
          <w:sz w:val="31"/>
          <w:szCs w:val="31"/>
          <w:lang w:val="en-US" w:eastAsia="zh-CN" w:bidi="ar-SA"/>
        </w:rPr>
        <w:t>利用大数据、农业云、物联网等智慧农业技术，提高农业数据智能化采集、处理、应用、服务水平。</w:t>
      </w:r>
    </w:p>
    <w:p>
      <w:pPr>
        <w:keepNext w:val="0"/>
        <w:keepLines w:val="0"/>
        <w:pageBreakBefore w:val="0"/>
        <w:widowControl/>
        <w:kinsoku/>
        <w:wordWrap/>
        <w:overflowPunct/>
        <w:topLinePunct w:val="0"/>
        <w:autoSpaceDE/>
        <w:autoSpaceDN/>
        <w:bidi w:val="0"/>
        <w:adjustRightInd/>
        <w:snapToGrid/>
        <w:spacing w:after="0" w:line="560" w:lineRule="exact"/>
        <w:ind w:firstLine="622" w:firstLineChars="200"/>
        <w:contextualSpacing/>
        <w:jc w:val="both"/>
        <w:textAlignment w:val="auto"/>
        <w:rPr>
          <w:rFonts w:hint="eastAsia" w:ascii="Times New Roman" w:hAnsi="Times New Roman" w:eastAsia="方正仿宋_GBK" w:cs="Times New Roman"/>
          <w:color w:val="000000"/>
          <w:sz w:val="31"/>
          <w:szCs w:val="31"/>
          <w:lang w:val="en-US" w:eastAsia="zh-CN" w:bidi="ar-SA"/>
        </w:rPr>
      </w:pPr>
      <w:r>
        <w:rPr>
          <w:rFonts w:hint="eastAsia" w:ascii="Times New Roman" w:hAnsi="Times New Roman" w:eastAsia="方正仿宋_GBK" w:cs="Times New Roman"/>
          <w:b/>
          <w:bCs/>
          <w:color w:val="000000"/>
          <w:sz w:val="31"/>
          <w:szCs w:val="31"/>
          <w:lang w:val="en-US" w:eastAsia="zh-CN" w:bidi="ar-SA"/>
        </w:rPr>
        <w:t>6、庭院经济专项：</w:t>
      </w:r>
      <w:r>
        <w:rPr>
          <w:rFonts w:hint="eastAsia" w:ascii="Times New Roman" w:hAnsi="Times New Roman" w:eastAsia="方正仿宋_GBK" w:cs="Times New Roman"/>
          <w:color w:val="000000"/>
          <w:sz w:val="31"/>
          <w:szCs w:val="31"/>
          <w:lang w:val="en-US" w:eastAsia="zh-CN" w:bidi="ar-SA"/>
        </w:rPr>
        <w:t>通过研究、开发、推广相关先进适用技术，提供休闲观光产业和庭院经济发展过程中所需的科技服务、培训，为庭院经济发展提供科技支撑。</w:t>
      </w:r>
    </w:p>
    <w:p>
      <w:pPr>
        <w:keepNext w:val="0"/>
        <w:keepLines w:val="0"/>
        <w:pageBreakBefore w:val="0"/>
        <w:widowControl/>
        <w:numPr>
          <w:ilvl w:val="0"/>
          <w:numId w:val="0"/>
        </w:numPr>
        <w:kinsoku/>
        <w:wordWrap/>
        <w:overflowPunct/>
        <w:topLinePunct w:val="0"/>
        <w:autoSpaceDE/>
        <w:autoSpaceDN/>
        <w:bidi w:val="0"/>
        <w:adjustRightInd/>
        <w:snapToGrid/>
        <w:spacing w:after="0" w:line="560" w:lineRule="exact"/>
        <w:ind w:firstLine="620" w:firstLineChars="200"/>
        <w:contextualSpacing/>
        <w:jc w:val="both"/>
        <w:textAlignment w:val="auto"/>
        <w:rPr>
          <w:rFonts w:hint="eastAsia" w:ascii="方正楷体_GBK" w:hAnsi="方正楷体_GBK" w:eastAsia="方正楷体_GBK" w:cs="方正楷体_GBK"/>
          <w:color w:val="000000" w:themeColor="text1"/>
          <w:sz w:val="31"/>
          <w:szCs w:val="31"/>
          <w:lang w:val="en-US" w:eastAsia="zh-CN"/>
          <w14:textFill>
            <w14:solidFill>
              <w14:schemeClr w14:val="tx1"/>
            </w14:solidFill>
          </w14:textFill>
        </w:rPr>
      </w:pPr>
      <w:r>
        <w:rPr>
          <w:rFonts w:hint="eastAsia" w:ascii="方正楷体_GBK" w:hAnsi="方正楷体_GBK" w:eastAsia="方正楷体_GBK" w:cs="方正楷体_GBK"/>
          <w:color w:val="000000" w:themeColor="text1"/>
          <w:sz w:val="31"/>
          <w:szCs w:val="31"/>
          <w:lang w:val="en-US" w:eastAsia="zh-CN"/>
          <w14:textFill>
            <w14:solidFill>
              <w14:schemeClr w14:val="tx1"/>
            </w14:solidFill>
          </w14:textFill>
        </w:rPr>
        <w:t>（五）创新环境提升专项</w:t>
      </w:r>
    </w:p>
    <w:p>
      <w:pPr>
        <w:keepNext w:val="0"/>
        <w:keepLines w:val="0"/>
        <w:pageBreakBefore w:val="0"/>
        <w:numPr>
          <w:ilvl w:val="0"/>
          <w:numId w:val="0"/>
        </w:numPr>
        <w:kinsoku/>
        <w:wordWrap/>
        <w:overflowPunct/>
        <w:topLinePunct w:val="0"/>
        <w:autoSpaceDE/>
        <w:autoSpaceDN/>
        <w:bidi w:val="0"/>
        <w:spacing w:after="0" w:line="560" w:lineRule="exact"/>
        <w:ind w:firstLine="622" w:firstLineChars="200"/>
        <w:jc w:val="both"/>
        <w:textAlignment w:val="auto"/>
        <w:rPr>
          <w:rFonts w:hint="eastAsia" w:ascii="Times New Roman" w:hAnsi="Times New Roman" w:eastAsia="方正仿宋_GBK" w:cs="Times New Roman"/>
          <w:color w:val="000000"/>
          <w:sz w:val="31"/>
          <w:szCs w:val="31"/>
          <w:lang w:val="en-US" w:eastAsia="zh-CN"/>
        </w:rPr>
      </w:pPr>
      <w:r>
        <w:rPr>
          <w:rFonts w:hint="eastAsia" w:ascii="Times New Roman" w:hAnsi="Times New Roman" w:eastAsia="方正仿宋_GBK" w:cs="Times New Roman"/>
          <w:b/>
          <w:bCs/>
          <w:color w:val="000000"/>
          <w:sz w:val="31"/>
          <w:szCs w:val="31"/>
          <w:lang w:val="en-US" w:eastAsia="zh-CN"/>
        </w:rPr>
        <w:t>1、农业科技示范园建设项目：</w:t>
      </w:r>
      <w:r>
        <w:rPr>
          <w:rFonts w:hint="eastAsia" w:ascii="Times New Roman" w:hAnsi="Times New Roman" w:eastAsia="方正仿宋_GBK" w:cs="Times New Roman"/>
          <w:color w:val="000000"/>
          <w:sz w:val="31"/>
          <w:szCs w:val="31"/>
          <w:lang w:val="en-US" w:eastAsia="zh-CN"/>
        </w:rPr>
        <w:t>以新产品培育、新成果应用、新模式推广和集成示范为重点，以发展新技术、新产业、新业态为方向，重点支持农业龙头企业、科技型企业、专业合作社等开展应用研究、集成示范和产业化发展，培育新动能，构建新体系，推进农业产业融合发展、绿色发展、创新发展，壮大地方或区域支柱产业，形成现代农业的示范样板。</w:t>
      </w:r>
    </w:p>
    <w:p>
      <w:pPr>
        <w:keepNext w:val="0"/>
        <w:keepLines w:val="0"/>
        <w:pageBreakBefore w:val="0"/>
        <w:numPr>
          <w:ilvl w:val="0"/>
          <w:numId w:val="0"/>
        </w:numPr>
        <w:kinsoku/>
        <w:wordWrap/>
        <w:overflowPunct/>
        <w:topLinePunct w:val="0"/>
        <w:autoSpaceDE/>
        <w:autoSpaceDN/>
        <w:bidi w:val="0"/>
        <w:spacing w:after="0" w:line="560" w:lineRule="exact"/>
        <w:ind w:firstLine="620" w:firstLineChars="200"/>
        <w:jc w:val="both"/>
        <w:textAlignment w:val="auto"/>
        <w:rPr>
          <w:rFonts w:hint="eastAsia" w:ascii="Times New Roman" w:hAnsi="Times New Roman" w:eastAsia="方正仿宋_GBK" w:cs="Times New Roman"/>
          <w:color w:val="000000"/>
          <w:sz w:val="31"/>
          <w:szCs w:val="31"/>
          <w:lang w:val="en-US" w:eastAsia="zh-CN"/>
        </w:rPr>
      </w:pPr>
      <w:r>
        <w:rPr>
          <w:rFonts w:hint="eastAsia" w:ascii="Times New Roman" w:hAnsi="Times New Roman" w:eastAsia="方正仿宋_GBK" w:cs="Times New Roman"/>
          <w:color w:val="000000"/>
          <w:sz w:val="31"/>
          <w:szCs w:val="31"/>
          <w:lang w:val="en-US" w:eastAsia="zh-CN"/>
        </w:rPr>
        <w:t>2、</w:t>
      </w:r>
      <w:r>
        <w:rPr>
          <w:rFonts w:hint="eastAsia" w:ascii="Times New Roman" w:hAnsi="Times New Roman" w:eastAsia="方正仿宋_GBK" w:cs="Times New Roman"/>
          <w:b/>
          <w:bCs/>
          <w:color w:val="000000"/>
          <w:sz w:val="31"/>
          <w:szCs w:val="31"/>
          <w:lang w:val="en-US" w:eastAsia="zh-CN"/>
        </w:rPr>
        <w:t>创新创业活动补助项目：</w:t>
      </w:r>
      <w:r>
        <w:rPr>
          <w:rFonts w:hint="eastAsia" w:ascii="Times New Roman" w:hAnsi="Times New Roman" w:eastAsia="方正仿宋_GBK" w:cs="Times New Roman"/>
          <w:color w:val="000000"/>
          <w:sz w:val="31"/>
          <w:szCs w:val="31"/>
          <w:lang w:val="en-US" w:eastAsia="zh-CN"/>
        </w:rPr>
        <w:t>申报单位需为在库尔勒市域内注册具有独立法人资格的创新创业活动承办单位，在库尔勒市组织创新创业大赛、成果交易会、行业技术论坛、科学技术类研讨会等公益类或市场化双创活动。根据规模、影响力、预期举办效果，给予适度的项目支持。创新创业大赛应以创业者、投资人、创业导师、双创载体为主要参加对象，着力于推动创新创业资源交流共享，促进创新创业要素优化配置，宣传库尔勒市创新创业政策环境，吸引国内外优秀创业者、投资机构向库尔勒市集聚。</w:t>
      </w:r>
    </w:p>
    <w:p>
      <w:pPr>
        <w:keepNext w:val="0"/>
        <w:keepLines w:val="0"/>
        <w:pageBreakBefore w:val="0"/>
        <w:numPr>
          <w:ilvl w:val="0"/>
          <w:numId w:val="0"/>
        </w:numPr>
        <w:kinsoku/>
        <w:wordWrap/>
        <w:overflowPunct/>
        <w:topLinePunct w:val="0"/>
        <w:autoSpaceDE/>
        <w:autoSpaceDN/>
        <w:bidi w:val="0"/>
        <w:spacing w:after="0" w:line="560" w:lineRule="exact"/>
        <w:ind w:firstLine="620" w:firstLineChars="200"/>
        <w:jc w:val="both"/>
        <w:textAlignment w:val="auto"/>
        <w:rPr>
          <w:rFonts w:ascii="方正黑体_GBK" w:hAnsi="黑体" w:eastAsia="方正黑体_GBK" w:cs="黑体"/>
          <w:color w:val="auto"/>
          <w:kern w:val="56"/>
          <w:sz w:val="31"/>
          <w:szCs w:val="31"/>
          <w:u w:val="none"/>
        </w:rPr>
      </w:pPr>
      <w:r>
        <w:rPr>
          <w:rFonts w:hint="eastAsia" w:ascii="方正黑体_GBK" w:hAnsi="黑体" w:eastAsia="方正黑体_GBK" w:cs="黑体"/>
          <w:color w:val="auto"/>
          <w:kern w:val="56"/>
          <w:sz w:val="31"/>
          <w:szCs w:val="31"/>
          <w:u w:val="none"/>
        </w:rPr>
        <w:t>二、申报条件</w:t>
      </w:r>
    </w:p>
    <w:p>
      <w:pPr>
        <w:keepNext w:val="0"/>
        <w:keepLines w:val="0"/>
        <w:pageBreakBefore w:val="0"/>
        <w:numPr>
          <w:ilvl w:val="0"/>
          <w:numId w:val="0"/>
        </w:numPr>
        <w:kinsoku/>
        <w:wordWrap/>
        <w:overflowPunct/>
        <w:topLinePunct w:val="0"/>
        <w:autoSpaceDE/>
        <w:autoSpaceDN/>
        <w:bidi w:val="0"/>
        <w:spacing w:after="0" w:line="560" w:lineRule="exact"/>
        <w:ind w:firstLine="620" w:firstLineChars="200"/>
        <w:jc w:val="both"/>
        <w:textAlignment w:val="auto"/>
        <w:rPr>
          <w:rFonts w:hint="eastAsia" w:ascii="Times New Roman" w:hAnsi="Times New Roman" w:eastAsia="方正仿宋_GBK" w:cs="Times New Roman"/>
          <w:color w:val="000000"/>
          <w:sz w:val="31"/>
          <w:szCs w:val="31"/>
          <w:lang w:val="en-US" w:eastAsia="zh-CN"/>
        </w:rPr>
      </w:pPr>
      <w:r>
        <w:rPr>
          <w:rFonts w:hint="eastAsia" w:ascii="Times New Roman" w:hAnsi="Times New Roman" w:eastAsia="方正仿宋_GBK" w:cs="Times New Roman"/>
          <w:color w:val="000000"/>
          <w:sz w:val="31"/>
          <w:szCs w:val="31"/>
          <w:lang w:val="en-US" w:eastAsia="zh-CN"/>
        </w:rPr>
        <w:t>项目主要支持对象为库尔勒市科研机构和高等院校。申报单位应当具有开展相关工作的基础设施、人才团队、管理能力和必要条件，</w:t>
      </w:r>
      <w:r>
        <w:rPr>
          <w:rFonts w:hint="eastAsia" w:ascii="Times New Roman" w:hAnsi="Times New Roman" w:eastAsia="方正仿宋_GBK" w:cs="Times New Roman"/>
          <w:color w:val="000000"/>
          <w:sz w:val="31"/>
          <w:szCs w:val="31"/>
          <w:lang w:val="zh-CN" w:eastAsia="zh-CN"/>
        </w:rPr>
        <w:t>建立了符合资源特点的标准规范、质量控制体系和资源整合模式，在本专业领域或全区范围内具有一定影响力；</w:t>
      </w:r>
      <w:r>
        <w:rPr>
          <w:rFonts w:hint="eastAsia" w:ascii="Times New Roman" w:hAnsi="Times New Roman" w:eastAsia="方正仿宋_GBK" w:cs="Times New Roman"/>
          <w:color w:val="000000"/>
          <w:sz w:val="31"/>
          <w:szCs w:val="31"/>
          <w:lang w:val="en-US" w:eastAsia="zh-CN"/>
        </w:rPr>
        <w:t>申报单位拥有</w:t>
      </w:r>
      <w:r>
        <w:rPr>
          <w:rFonts w:hint="eastAsia" w:ascii="Times New Roman" w:hAnsi="Times New Roman" w:eastAsia="方正仿宋_GBK" w:cs="Times New Roman"/>
          <w:color w:val="000000"/>
          <w:sz w:val="31"/>
          <w:szCs w:val="31"/>
          <w:lang w:val="zh-CN" w:eastAsia="zh-CN"/>
        </w:rPr>
        <w:t>一定的科技资源或特色资源，具备较强的科技资源整合能力，</w:t>
      </w:r>
      <w:r>
        <w:rPr>
          <w:rFonts w:hint="eastAsia" w:ascii="Times New Roman" w:hAnsi="Times New Roman" w:eastAsia="方正仿宋_GBK" w:cs="Times New Roman"/>
          <w:color w:val="000000"/>
          <w:sz w:val="31"/>
          <w:szCs w:val="31"/>
          <w:lang w:val="en-US" w:eastAsia="zh-CN"/>
        </w:rPr>
        <w:t>且有成型的平台体系，项目完成后，能够形成某一方面的资源共享体系，并实现资源社会共享。</w:t>
      </w:r>
    </w:p>
    <w:p>
      <w:pPr>
        <w:keepNext w:val="0"/>
        <w:keepLines w:val="0"/>
        <w:pageBreakBefore w:val="0"/>
        <w:numPr>
          <w:ilvl w:val="0"/>
          <w:numId w:val="0"/>
        </w:numPr>
        <w:kinsoku/>
        <w:wordWrap/>
        <w:overflowPunct/>
        <w:topLinePunct w:val="0"/>
        <w:autoSpaceDE/>
        <w:autoSpaceDN/>
        <w:bidi w:val="0"/>
        <w:spacing w:after="0" w:line="560" w:lineRule="exact"/>
        <w:ind w:firstLine="620" w:firstLineChars="200"/>
        <w:jc w:val="both"/>
        <w:textAlignment w:val="auto"/>
        <w:rPr>
          <w:rFonts w:hint="eastAsia" w:ascii="方正黑体_GBK" w:hAnsi="方正黑体_GBK" w:eastAsia="方正黑体_GBK" w:cs="方正黑体_GBK"/>
          <w:color w:val="000000"/>
          <w:sz w:val="31"/>
          <w:szCs w:val="31"/>
          <w:lang w:val="en-US" w:eastAsia="zh-CN"/>
        </w:rPr>
      </w:pPr>
      <w:r>
        <w:rPr>
          <w:rFonts w:hint="eastAsia" w:ascii="方正黑体_GBK" w:hAnsi="方正黑体_GBK" w:eastAsia="方正黑体_GBK" w:cs="方正黑体_GBK"/>
          <w:color w:val="000000"/>
          <w:sz w:val="31"/>
          <w:szCs w:val="31"/>
          <w:lang w:val="en-US" w:eastAsia="zh-CN"/>
        </w:rPr>
        <w:t>三、申报要求</w:t>
      </w:r>
    </w:p>
    <w:p>
      <w:pPr>
        <w:keepNext w:val="0"/>
        <w:keepLines w:val="0"/>
        <w:pageBreakBefore w:val="0"/>
        <w:widowControl/>
        <w:kinsoku/>
        <w:wordWrap/>
        <w:overflowPunct/>
        <w:topLinePunct w:val="0"/>
        <w:autoSpaceDE/>
        <w:autoSpaceDN/>
        <w:bidi w:val="0"/>
        <w:adjustRightInd/>
        <w:snapToGrid/>
        <w:spacing w:after="0" w:line="560" w:lineRule="exact"/>
        <w:ind w:firstLine="620" w:firstLineChars="200"/>
        <w:contextualSpacing/>
        <w:jc w:val="both"/>
        <w:textAlignment w:val="auto"/>
        <w:rPr>
          <w:rFonts w:hint="eastAsia" w:ascii="Times New Roman" w:hAnsi="Times New Roman" w:eastAsia="方正仿宋_GBK" w:cs="Times New Roman"/>
          <w:color w:val="000000"/>
          <w:sz w:val="31"/>
          <w:szCs w:val="31"/>
          <w:lang w:val="en-US" w:eastAsia="zh-CN"/>
        </w:rPr>
      </w:pPr>
      <w:r>
        <w:rPr>
          <w:rFonts w:hint="eastAsia" w:ascii="Times New Roman" w:hAnsi="Times New Roman" w:eastAsia="方正仿宋_GBK" w:cs="Times New Roman"/>
          <w:color w:val="000000"/>
          <w:sz w:val="31"/>
          <w:szCs w:val="31"/>
          <w:lang w:val="en-US" w:eastAsia="zh-CN"/>
        </w:rPr>
        <w:t>1、科技平台创新建设项目要符合“整合共享、完善提高”的原则，不支持单纯的研究项目、非科研基础设施维修改造和工作条件改善。</w:t>
      </w:r>
    </w:p>
    <w:p>
      <w:pPr>
        <w:keepNext w:val="0"/>
        <w:keepLines w:val="0"/>
        <w:pageBreakBefore w:val="0"/>
        <w:widowControl/>
        <w:kinsoku/>
        <w:wordWrap/>
        <w:overflowPunct/>
        <w:topLinePunct w:val="0"/>
        <w:autoSpaceDE/>
        <w:autoSpaceDN/>
        <w:bidi w:val="0"/>
        <w:adjustRightInd/>
        <w:snapToGrid/>
        <w:spacing w:after="0" w:line="560" w:lineRule="exact"/>
        <w:ind w:firstLine="620" w:firstLineChars="200"/>
        <w:contextualSpacing/>
        <w:jc w:val="both"/>
        <w:textAlignment w:val="auto"/>
        <w:rPr>
          <w:rFonts w:hint="eastAsia" w:ascii="Times New Roman" w:hAnsi="Times New Roman" w:eastAsia="方正仿宋_GBK" w:cs="Times New Roman"/>
          <w:color w:val="000000"/>
          <w:sz w:val="31"/>
          <w:szCs w:val="31"/>
          <w:lang w:val="en-US" w:eastAsia="zh-CN"/>
        </w:rPr>
      </w:pPr>
      <w:r>
        <w:rPr>
          <w:rFonts w:hint="eastAsia" w:ascii="Times New Roman" w:hAnsi="Times New Roman" w:eastAsia="方正仿宋_GBK" w:cs="Times New Roman"/>
          <w:color w:val="000000"/>
          <w:sz w:val="31"/>
          <w:szCs w:val="31"/>
          <w:lang w:val="en-US" w:eastAsia="zh-CN"/>
        </w:rPr>
        <w:t>2、执行平台项目要严格按照项目确定的目标和任务，科学合理地编制和安排项目经费预算。项目经费应当纳入单位财务统一管理，单独核算，确保专款专用。实际获得支持的财政科技经费未达到申报额度，不足经费由申报单位自行筹措解决。</w:t>
      </w:r>
    </w:p>
    <w:p>
      <w:pPr>
        <w:keepNext w:val="0"/>
        <w:keepLines w:val="0"/>
        <w:pageBreakBefore w:val="0"/>
        <w:widowControl/>
        <w:kinsoku/>
        <w:wordWrap/>
        <w:overflowPunct/>
        <w:topLinePunct w:val="0"/>
        <w:autoSpaceDE/>
        <w:autoSpaceDN/>
        <w:bidi w:val="0"/>
        <w:adjustRightInd/>
        <w:snapToGrid/>
        <w:spacing w:after="0" w:line="560" w:lineRule="exact"/>
        <w:ind w:firstLine="620" w:firstLineChars="200"/>
        <w:contextualSpacing/>
        <w:jc w:val="both"/>
        <w:textAlignment w:val="auto"/>
        <w:rPr>
          <w:rFonts w:hint="eastAsia" w:ascii="Times New Roman" w:hAnsi="Times New Roman" w:eastAsia="方正仿宋_GBK" w:cs="Times New Roman"/>
          <w:color w:val="000000"/>
          <w:sz w:val="31"/>
          <w:szCs w:val="31"/>
          <w:lang w:val="en-US" w:eastAsia="zh-CN"/>
        </w:rPr>
      </w:pPr>
      <w:r>
        <w:rPr>
          <w:rFonts w:hint="eastAsia" w:ascii="Times New Roman" w:hAnsi="Times New Roman" w:eastAsia="方正仿宋_GBK" w:cs="Times New Roman"/>
          <w:color w:val="000000"/>
          <w:sz w:val="31"/>
          <w:szCs w:val="31"/>
          <w:lang w:val="en-US" w:eastAsia="zh-CN"/>
        </w:rPr>
        <w:t>3.项目实施期限：2年。</w:t>
      </w:r>
    </w:p>
    <w:p>
      <w:pPr>
        <w:keepNext w:val="0"/>
        <w:keepLines w:val="0"/>
        <w:pageBreakBefore w:val="0"/>
        <w:widowControl/>
        <w:kinsoku/>
        <w:wordWrap/>
        <w:overflowPunct/>
        <w:topLinePunct w:val="0"/>
        <w:autoSpaceDE/>
        <w:autoSpaceDN/>
        <w:bidi w:val="0"/>
        <w:adjustRightInd/>
        <w:snapToGrid/>
        <w:spacing w:after="0" w:line="560" w:lineRule="exact"/>
        <w:ind w:firstLine="620" w:firstLineChars="200"/>
        <w:contextualSpacing/>
        <w:jc w:val="both"/>
        <w:textAlignment w:val="auto"/>
        <w:rPr>
          <w:rFonts w:hint="eastAsia" w:ascii="Times New Roman" w:hAnsi="Times New Roman" w:eastAsia="方正仿宋_GBK" w:cs="Times New Roman"/>
          <w:color w:val="000000"/>
          <w:sz w:val="31"/>
          <w:szCs w:val="31"/>
          <w:lang w:val="en-US" w:eastAsia="zh-CN"/>
        </w:rPr>
      </w:pPr>
      <w:r>
        <w:rPr>
          <w:rFonts w:hint="eastAsia" w:ascii="Times New Roman" w:hAnsi="Times New Roman" w:eastAsia="方正仿宋_GBK" w:cs="Times New Roman"/>
          <w:color w:val="000000"/>
          <w:sz w:val="31"/>
          <w:szCs w:val="31"/>
          <w:lang w:val="en-US" w:eastAsia="zh-CN"/>
        </w:rPr>
        <w:t>4.申报的项目应具有较好前期工作基础，目标明确，方案科学、合理、可行。</w:t>
      </w:r>
    </w:p>
    <w:p>
      <w:pPr>
        <w:keepNext w:val="0"/>
        <w:keepLines w:val="0"/>
        <w:pageBreakBefore w:val="0"/>
        <w:widowControl/>
        <w:kinsoku/>
        <w:wordWrap/>
        <w:overflowPunct/>
        <w:topLinePunct w:val="0"/>
        <w:autoSpaceDE/>
        <w:autoSpaceDN/>
        <w:bidi w:val="0"/>
        <w:adjustRightInd/>
        <w:snapToGrid/>
        <w:spacing w:after="0" w:line="560" w:lineRule="exact"/>
        <w:ind w:firstLine="620" w:firstLineChars="200"/>
        <w:contextualSpacing/>
        <w:jc w:val="both"/>
        <w:textAlignment w:val="auto"/>
        <w:rPr>
          <w:rFonts w:hint="eastAsia" w:ascii="Times New Roman" w:hAnsi="Times New Roman" w:eastAsia="方正仿宋_GBK" w:cs="Times New Roman"/>
          <w:color w:val="000000"/>
          <w:sz w:val="31"/>
          <w:szCs w:val="31"/>
          <w:lang w:val="en-US" w:eastAsia="zh-CN"/>
        </w:rPr>
      </w:pPr>
      <w:r>
        <w:rPr>
          <w:rFonts w:hint="eastAsia" w:ascii="Times New Roman" w:hAnsi="Times New Roman" w:eastAsia="方正仿宋_GBK" w:cs="Times New Roman"/>
          <w:color w:val="000000"/>
          <w:sz w:val="31"/>
          <w:szCs w:val="31"/>
          <w:lang w:val="en-US" w:eastAsia="zh-CN"/>
        </w:rPr>
        <w:t>5.体现军民融合的项目优先。</w:t>
      </w:r>
    </w:p>
    <w:p>
      <w:pPr>
        <w:keepNext w:val="0"/>
        <w:keepLines w:val="0"/>
        <w:pageBreakBefore w:val="0"/>
        <w:widowControl/>
        <w:kinsoku/>
        <w:wordWrap/>
        <w:overflowPunct/>
        <w:topLinePunct w:val="0"/>
        <w:autoSpaceDE/>
        <w:autoSpaceDN/>
        <w:bidi w:val="0"/>
        <w:adjustRightInd/>
        <w:snapToGrid/>
        <w:spacing w:after="0" w:line="560" w:lineRule="exact"/>
        <w:ind w:firstLine="620" w:firstLineChars="200"/>
        <w:contextualSpacing/>
        <w:jc w:val="both"/>
        <w:textAlignment w:val="auto"/>
        <w:rPr>
          <w:rFonts w:hint="eastAsia" w:ascii="方正黑体_GBK" w:hAnsi="方正黑体_GBK" w:eastAsia="方正黑体_GBK" w:cs="方正黑体_GBK"/>
          <w:color w:val="000000"/>
          <w:sz w:val="31"/>
          <w:szCs w:val="31"/>
          <w:lang w:val="en-US" w:eastAsia="zh-CN"/>
        </w:rPr>
      </w:pPr>
      <w:bookmarkStart w:id="0" w:name="_GoBack"/>
      <w:r>
        <w:rPr>
          <w:rFonts w:hint="eastAsia" w:ascii="方正黑体_GBK" w:hAnsi="方正黑体_GBK" w:eastAsia="方正黑体_GBK" w:cs="方正黑体_GBK"/>
          <w:color w:val="000000"/>
          <w:sz w:val="31"/>
          <w:szCs w:val="31"/>
          <w:lang w:val="en-US" w:eastAsia="zh-CN"/>
        </w:rPr>
        <w:t>四、联系方式</w:t>
      </w:r>
    </w:p>
    <w:bookmarkEnd w:id="0"/>
    <w:p>
      <w:pPr>
        <w:keepNext w:val="0"/>
        <w:keepLines w:val="0"/>
        <w:pageBreakBefore w:val="0"/>
        <w:widowControl/>
        <w:kinsoku/>
        <w:wordWrap/>
        <w:overflowPunct/>
        <w:topLinePunct w:val="0"/>
        <w:autoSpaceDE/>
        <w:autoSpaceDN/>
        <w:bidi w:val="0"/>
        <w:adjustRightInd/>
        <w:snapToGrid/>
        <w:spacing w:after="0" w:line="560" w:lineRule="exact"/>
        <w:ind w:firstLine="620" w:firstLineChars="200"/>
        <w:contextualSpacing/>
        <w:jc w:val="both"/>
        <w:textAlignment w:val="auto"/>
        <w:rPr>
          <w:rFonts w:hint="eastAsia" w:ascii="Times New Roman" w:hAnsi="Times New Roman" w:eastAsia="方正仿宋_GBK" w:cs="Times New Roman"/>
          <w:color w:val="000000"/>
          <w:sz w:val="31"/>
          <w:szCs w:val="31"/>
          <w:lang w:val="en-US" w:eastAsia="zh-CN"/>
        </w:rPr>
      </w:pPr>
      <w:r>
        <w:rPr>
          <w:rFonts w:hint="eastAsia" w:ascii="Times New Roman" w:hAnsi="Times New Roman" w:eastAsia="方正仿宋_GBK" w:cs="Times New Roman"/>
          <w:color w:val="000000"/>
          <w:sz w:val="31"/>
          <w:szCs w:val="31"/>
          <w:lang w:val="en-US" w:eastAsia="zh-CN"/>
        </w:rPr>
        <w:t>受理科室：科技规划与管理股</w:t>
      </w:r>
    </w:p>
    <w:p>
      <w:pPr>
        <w:keepNext w:val="0"/>
        <w:keepLines w:val="0"/>
        <w:pageBreakBefore w:val="0"/>
        <w:widowControl/>
        <w:kinsoku/>
        <w:wordWrap/>
        <w:overflowPunct/>
        <w:topLinePunct w:val="0"/>
        <w:autoSpaceDE/>
        <w:autoSpaceDN/>
        <w:bidi w:val="0"/>
        <w:adjustRightInd/>
        <w:snapToGrid/>
        <w:spacing w:after="0" w:line="560" w:lineRule="exact"/>
        <w:ind w:firstLine="620" w:firstLineChars="200"/>
        <w:contextualSpacing/>
        <w:jc w:val="both"/>
        <w:textAlignment w:val="auto"/>
        <w:rPr>
          <w:rFonts w:hint="eastAsia" w:ascii="Times New Roman" w:hAnsi="Times New Roman" w:eastAsia="方正仿宋_GBK" w:cs="Times New Roman"/>
          <w:color w:val="000000"/>
          <w:sz w:val="31"/>
          <w:szCs w:val="31"/>
          <w:lang w:val="en-US" w:eastAsia="zh-CN"/>
        </w:rPr>
      </w:pPr>
      <w:r>
        <w:rPr>
          <w:rFonts w:hint="eastAsia" w:ascii="Times New Roman" w:hAnsi="Times New Roman" w:eastAsia="方正仿宋_GBK" w:cs="Times New Roman"/>
          <w:color w:val="000000"/>
          <w:sz w:val="31"/>
          <w:szCs w:val="31"/>
          <w:lang w:val="en-US" w:eastAsia="zh-CN"/>
        </w:rPr>
        <w:t>联  系  人：汤春燕   黄新刚</w:t>
      </w:r>
    </w:p>
    <w:p>
      <w:pPr>
        <w:keepNext w:val="0"/>
        <w:keepLines w:val="0"/>
        <w:pageBreakBefore w:val="0"/>
        <w:widowControl/>
        <w:kinsoku/>
        <w:wordWrap/>
        <w:overflowPunct/>
        <w:topLinePunct w:val="0"/>
        <w:autoSpaceDE/>
        <w:autoSpaceDN/>
        <w:bidi w:val="0"/>
        <w:adjustRightInd/>
        <w:snapToGrid/>
        <w:spacing w:after="0" w:line="560" w:lineRule="exact"/>
        <w:ind w:firstLine="620" w:firstLineChars="200"/>
        <w:contextualSpacing/>
        <w:jc w:val="both"/>
        <w:textAlignment w:val="auto"/>
        <w:rPr>
          <w:rFonts w:hint="eastAsia" w:ascii="Times New Roman" w:hAnsi="Times New Roman" w:eastAsia="方正仿宋_GBK" w:cs="Times New Roman"/>
          <w:color w:val="000000"/>
          <w:sz w:val="31"/>
          <w:szCs w:val="31"/>
          <w:lang w:val="en-US" w:eastAsia="zh-CN"/>
        </w:rPr>
      </w:pPr>
      <w:r>
        <w:rPr>
          <w:rFonts w:hint="eastAsia" w:ascii="Times New Roman" w:hAnsi="Times New Roman" w:eastAsia="方正仿宋_GBK" w:cs="Times New Roman"/>
          <w:color w:val="000000"/>
          <w:sz w:val="31"/>
          <w:szCs w:val="31"/>
          <w:lang w:val="en-US" w:eastAsia="zh-CN"/>
        </w:rPr>
        <w:t>联系电话：2168362    16698823296    18699968291</w:t>
      </w:r>
    </w:p>
    <w:p>
      <w:pPr>
        <w:keepNext w:val="0"/>
        <w:keepLines w:val="0"/>
        <w:pageBreakBefore w:val="0"/>
        <w:widowControl/>
        <w:kinsoku/>
        <w:wordWrap/>
        <w:overflowPunct/>
        <w:topLinePunct w:val="0"/>
        <w:autoSpaceDE/>
        <w:autoSpaceDN/>
        <w:bidi w:val="0"/>
        <w:adjustRightInd/>
        <w:snapToGrid/>
        <w:spacing w:after="0" w:line="560" w:lineRule="exact"/>
        <w:ind w:firstLine="620" w:firstLineChars="200"/>
        <w:contextualSpacing/>
        <w:jc w:val="both"/>
        <w:textAlignment w:val="auto"/>
        <w:rPr>
          <w:rFonts w:hint="eastAsia" w:ascii="Times New Roman" w:hAnsi="Times New Roman" w:eastAsia="方正仿宋_GBK" w:cs="Times New Roman"/>
          <w:color w:val="000000"/>
          <w:sz w:val="31"/>
          <w:szCs w:val="31"/>
          <w:lang w:val="en-US" w:eastAsia="zh-CN"/>
        </w:rPr>
      </w:pPr>
      <w:r>
        <w:rPr>
          <w:rFonts w:hint="eastAsia" w:ascii="Times New Roman" w:hAnsi="Times New Roman" w:eastAsia="方正仿宋_GBK" w:cs="Times New Roman"/>
          <w:color w:val="000000"/>
          <w:sz w:val="31"/>
          <w:szCs w:val="31"/>
          <w:lang w:val="en-US" w:eastAsia="zh-CN"/>
        </w:rPr>
        <w:t>邮       箱：</w:t>
      </w:r>
      <w:r>
        <w:rPr>
          <w:rFonts w:hint="eastAsia" w:ascii="Times New Roman" w:hAnsi="Times New Roman" w:eastAsia="方正仿宋_GBK" w:cs="Times New Roman"/>
          <w:color w:val="000000"/>
          <w:sz w:val="31"/>
          <w:szCs w:val="31"/>
          <w:lang w:val="en-US" w:eastAsia="zh-CN"/>
        </w:rPr>
        <w:fldChar w:fldCharType="begin"/>
      </w:r>
      <w:r>
        <w:rPr>
          <w:rFonts w:hint="eastAsia" w:ascii="Times New Roman" w:hAnsi="Times New Roman" w:eastAsia="方正仿宋_GBK" w:cs="Times New Roman"/>
          <w:color w:val="000000"/>
          <w:sz w:val="31"/>
          <w:szCs w:val="31"/>
          <w:lang w:val="en-US" w:eastAsia="zh-CN"/>
        </w:rPr>
        <w:instrText xml:space="preserve"> HYPERLINK "mailto:kjj18699968291@163.com" </w:instrText>
      </w:r>
      <w:r>
        <w:rPr>
          <w:rFonts w:hint="eastAsia" w:ascii="Times New Roman" w:hAnsi="Times New Roman" w:eastAsia="方正仿宋_GBK" w:cs="Times New Roman"/>
          <w:color w:val="000000"/>
          <w:sz w:val="31"/>
          <w:szCs w:val="31"/>
          <w:lang w:val="en-US" w:eastAsia="zh-CN"/>
        </w:rPr>
        <w:fldChar w:fldCharType="separate"/>
      </w:r>
      <w:r>
        <w:rPr>
          <w:rStyle w:val="17"/>
          <w:rFonts w:hint="eastAsia" w:ascii="Times New Roman" w:hAnsi="Times New Roman" w:eastAsia="方正仿宋_GBK" w:cs="Times New Roman"/>
          <w:color w:val="000000"/>
          <w:sz w:val="31"/>
          <w:szCs w:val="31"/>
          <w:lang w:val="en-US" w:eastAsia="zh-CN"/>
        </w:rPr>
        <w:t>kjj18699968291@163.com</w:t>
      </w:r>
      <w:r>
        <w:rPr>
          <w:rFonts w:hint="eastAsia" w:ascii="Times New Roman" w:hAnsi="Times New Roman" w:eastAsia="方正仿宋_GBK" w:cs="Times New Roman"/>
          <w:color w:val="000000"/>
          <w:sz w:val="31"/>
          <w:szCs w:val="31"/>
          <w:lang w:val="en-US" w:eastAsia="zh-CN"/>
        </w:rPr>
        <w:fldChar w:fldCharType="end"/>
      </w:r>
    </w:p>
    <w:p>
      <w:pPr>
        <w:pStyle w:val="2"/>
        <w:rPr>
          <w:rFonts w:hint="eastAsia" w:ascii="Times New Roman" w:hAnsi="Times New Roman" w:eastAsia="方正仿宋_GBK" w:cs="Times New Roman"/>
          <w:color w:val="000000"/>
          <w:sz w:val="31"/>
          <w:szCs w:val="31"/>
          <w:lang w:val="en-US" w:eastAsia="zh-CN"/>
        </w:rPr>
      </w:pPr>
    </w:p>
    <w:p>
      <w:pPr>
        <w:pStyle w:val="4"/>
        <w:rPr>
          <w:rFonts w:hint="eastAsia"/>
          <w:lang w:val="en-US" w:eastAsia="zh-CN"/>
        </w:rPr>
      </w:pPr>
    </w:p>
    <w:p>
      <w:pPr>
        <w:keepNext w:val="0"/>
        <w:keepLines w:val="0"/>
        <w:pageBreakBefore w:val="0"/>
        <w:widowControl/>
        <w:kinsoku/>
        <w:wordWrap w:val="0"/>
        <w:overflowPunct/>
        <w:topLinePunct w:val="0"/>
        <w:autoSpaceDE/>
        <w:autoSpaceDN/>
        <w:bidi w:val="0"/>
        <w:adjustRightInd/>
        <w:snapToGrid/>
        <w:spacing w:after="0" w:line="560" w:lineRule="exact"/>
        <w:contextualSpacing/>
        <w:jc w:val="right"/>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 xml:space="preserve">库尔勒市科技局 </w:t>
      </w:r>
    </w:p>
    <w:p>
      <w:pPr>
        <w:keepNext w:val="0"/>
        <w:keepLines w:val="0"/>
        <w:pageBreakBefore w:val="0"/>
        <w:widowControl/>
        <w:kinsoku/>
        <w:wordWrap/>
        <w:overflowPunct/>
        <w:topLinePunct w:val="0"/>
        <w:autoSpaceDE/>
        <w:autoSpaceDN/>
        <w:bidi w:val="0"/>
        <w:adjustRightInd/>
        <w:snapToGrid/>
        <w:spacing w:after="0" w:line="560" w:lineRule="exact"/>
        <w:contextualSpacing/>
        <w:textAlignment w:val="auto"/>
        <w:rPr>
          <w:rFonts w:hint="eastAsia" w:ascii="Times New Roman" w:hAnsi="Times New Roman" w:eastAsia="方正仿宋_GBK" w:cs="Times New Roman"/>
          <w:color w:val="000000"/>
          <w:sz w:val="32"/>
          <w:szCs w:val="32"/>
          <w:lang w:val="en-US" w:eastAsia="zh-CN"/>
        </w:rPr>
      </w:pPr>
      <w:r>
        <w:rPr>
          <w:rFonts w:hint="eastAsia" w:ascii="仿宋" w:hAnsi="仿宋" w:eastAsia="仿宋"/>
          <w:color w:val="000000" w:themeColor="text1"/>
          <w:sz w:val="31"/>
          <w:szCs w:val="31"/>
          <w14:textFill>
            <w14:solidFill>
              <w14:schemeClr w14:val="tx1"/>
            </w14:solidFill>
          </w14:textFill>
        </w:rPr>
        <w:t xml:space="preserve">                             </w:t>
      </w:r>
      <w:r>
        <w:rPr>
          <w:rFonts w:hint="eastAsia" w:ascii="Times New Roman" w:hAnsi="Times New Roman" w:eastAsia="方正仿宋_GBK" w:cs="Times New Roman"/>
          <w:color w:val="000000"/>
          <w:sz w:val="32"/>
          <w:szCs w:val="32"/>
          <w:lang w:val="en-US" w:eastAsia="zh-CN"/>
        </w:rPr>
        <w:t xml:space="preserve">                   2023年3月3日</w:t>
      </w:r>
    </w:p>
    <w:sectPr>
      <w:headerReference r:id="rId4" w:type="default"/>
      <w:footerReference r:id="rId5" w:type="default"/>
      <w:pgSz w:w="11906" w:h="16838"/>
      <w:pgMar w:top="1440" w:right="1800" w:bottom="1440" w:left="180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黑体_GBK">
    <w:panose1 w:val="03000509000000000000"/>
    <w:charset w:val="86"/>
    <w:family w:val="script"/>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93908"/>
    </w:sdtPr>
    <w:sdtContent>
      <w:p>
        <w:pPr>
          <w:pStyle w:val="10"/>
          <w:jc w:val="center"/>
        </w:pPr>
        <w:r>
          <w:fldChar w:fldCharType="begin"/>
        </w:r>
        <w:r>
          <w:instrText xml:space="preserve"> PAGE   \* MERGEFORMAT </w:instrText>
        </w:r>
        <w:r>
          <w:fldChar w:fldCharType="separate"/>
        </w:r>
        <w:r>
          <w:rPr>
            <w:lang w:val="zh-CN"/>
          </w:rPr>
          <w:t>8</w:t>
        </w:r>
        <w:r>
          <w:rPr>
            <w:lang w:val="zh-CN"/>
          </w:rPr>
          <w:fldChar w:fldCharType="end"/>
        </w:r>
      </w:p>
    </w:sdtContent>
  </w:sdt>
  <w:p>
    <w:pPr>
      <w:pStyle w:val="1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720"/>
  <w:characterSpacingControl w:val="doNotCompress"/>
  <w:footnotePr>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IzMDM2NTY1NzI0ZTI1NTc1NTNhMDkxYzkyZGJmZTQifQ=="/>
  </w:docVars>
  <w:rsids>
    <w:rsidRoot w:val="00D31D50"/>
    <w:rsid w:val="000025B4"/>
    <w:rsid w:val="0001279C"/>
    <w:rsid w:val="0006538C"/>
    <w:rsid w:val="000656B0"/>
    <w:rsid w:val="00083064"/>
    <w:rsid w:val="000839D6"/>
    <w:rsid w:val="00085581"/>
    <w:rsid w:val="00086EB4"/>
    <w:rsid w:val="000A2248"/>
    <w:rsid w:val="000A345F"/>
    <w:rsid w:val="000A3693"/>
    <w:rsid w:val="000C2637"/>
    <w:rsid w:val="000C539D"/>
    <w:rsid w:val="000D2D75"/>
    <w:rsid w:val="000D51C6"/>
    <w:rsid w:val="000E25BF"/>
    <w:rsid w:val="000E3FDE"/>
    <w:rsid w:val="000F4B1E"/>
    <w:rsid w:val="001018FA"/>
    <w:rsid w:val="0011387C"/>
    <w:rsid w:val="00137087"/>
    <w:rsid w:val="00151FEF"/>
    <w:rsid w:val="00162BEB"/>
    <w:rsid w:val="00163C45"/>
    <w:rsid w:val="00181C1E"/>
    <w:rsid w:val="00181C5B"/>
    <w:rsid w:val="001903C8"/>
    <w:rsid w:val="00192564"/>
    <w:rsid w:val="00197B60"/>
    <w:rsid w:val="001A61CB"/>
    <w:rsid w:val="001C1F87"/>
    <w:rsid w:val="001C3F45"/>
    <w:rsid w:val="001D3B33"/>
    <w:rsid w:val="001D5C23"/>
    <w:rsid w:val="001F21F5"/>
    <w:rsid w:val="001F653B"/>
    <w:rsid w:val="00203A72"/>
    <w:rsid w:val="00214A06"/>
    <w:rsid w:val="00214A42"/>
    <w:rsid w:val="00242CBE"/>
    <w:rsid w:val="0024466F"/>
    <w:rsid w:val="00250386"/>
    <w:rsid w:val="00253848"/>
    <w:rsid w:val="002543DE"/>
    <w:rsid w:val="002847F0"/>
    <w:rsid w:val="00286952"/>
    <w:rsid w:val="00292B62"/>
    <w:rsid w:val="0029442B"/>
    <w:rsid w:val="002A152F"/>
    <w:rsid w:val="002A36CD"/>
    <w:rsid w:val="002C765C"/>
    <w:rsid w:val="002D570A"/>
    <w:rsid w:val="002E044D"/>
    <w:rsid w:val="003109AB"/>
    <w:rsid w:val="00323B43"/>
    <w:rsid w:val="0032704E"/>
    <w:rsid w:val="00336032"/>
    <w:rsid w:val="00343393"/>
    <w:rsid w:val="003468D6"/>
    <w:rsid w:val="00367E4B"/>
    <w:rsid w:val="003856CE"/>
    <w:rsid w:val="003A6C0A"/>
    <w:rsid w:val="003C3142"/>
    <w:rsid w:val="003C4749"/>
    <w:rsid w:val="003C6504"/>
    <w:rsid w:val="003D37D8"/>
    <w:rsid w:val="003E004B"/>
    <w:rsid w:val="003E0E0D"/>
    <w:rsid w:val="003E61D0"/>
    <w:rsid w:val="003F37CE"/>
    <w:rsid w:val="003F59A5"/>
    <w:rsid w:val="00401251"/>
    <w:rsid w:val="00402244"/>
    <w:rsid w:val="00413A66"/>
    <w:rsid w:val="004210AB"/>
    <w:rsid w:val="00422641"/>
    <w:rsid w:val="004245A7"/>
    <w:rsid w:val="00424D67"/>
    <w:rsid w:val="00426133"/>
    <w:rsid w:val="004358AB"/>
    <w:rsid w:val="004526E7"/>
    <w:rsid w:val="00456FF8"/>
    <w:rsid w:val="00463A61"/>
    <w:rsid w:val="00464756"/>
    <w:rsid w:val="004659D9"/>
    <w:rsid w:val="00466B93"/>
    <w:rsid w:val="004674BD"/>
    <w:rsid w:val="00470D35"/>
    <w:rsid w:val="004743BA"/>
    <w:rsid w:val="00477BFC"/>
    <w:rsid w:val="00480099"/>
    <w:rsid w:val="004A256E"/>
    <w:rsid w:val="004A258F"/>
    <w:rsid w:val="004B44E2"/>
    <w:rsid w:val="004C2480"/>
    <w:rsid w:val="004D47AE"/>
    <w:rsid w:val="004D6810"/>
    <w:rsid w:val="004E6D14"/>
    <w:rsid w:val="004F30A5"/>
    <w:rsid w:val="004F56D4"/>
    <w:rsid w:val="00507DA4"/>
    <w:rsid w:val="0052467D"/>
    <w:rsid w:val="00534E4E"/>
    <w:rsid w:val="00535E26"/>
    <w:rsid w:val="00537649"/>
    <w:rsid w:val="0054089E"/>
    <w:rsid w:val="005446FE"/>
    <w:rsid w:val="00547F9C"/>
    <w:rsid w:val="005512B9"/>
    <w:rsid w:val="00555D30"/>
    <w:rsid w:val="00555E8C"/>
    <w:rsid w:val="00560C65"/>
    <w:rsid w:val="00576221"/>
    <w:rsid w:val="00582890"/>
    <w:rsid w:val="00593081"/>
    <w:rsid w:val="00597D86"/>
    <w:rsid w:val="005A1FA6"/>
    <w:rsid w:val="005B1238"/>
    <w:rsid w:val="005B69DD"/>
    <w:rsid w:val="005B786B"/>
    <w:rsid w:val="005C0AE7"/>
    <w:rsid w:val="005D65B1"/>
    <w:rsid w:val="005E2C2C"/>
    <w:rsid w:val="005E3A89"/>
    <w:rsid w:val="005F6EF6"/>
    <w:rsid w:val="005F76BA"/>
    <w:rsid w:val="00607F3E"/>
    <w:rsid w:val="00610538"/>
    <w:rsid w:val="00617ED7"/>
    <w:rsid w:val="00622B17"/>
    <w:rsid w:val="00626FDD"/>
    <w:rsid w:val="00627BBA"/>
    <w:rsid w:val="00647E1E"/>
    <w:rsid w:val="00650DC0"/>
    <w:rsid w:val="0065581E"/>
    <w:rsid w:val="0065641C"/>
    <w:rsid w:val="00656D30"/>
    <w:rsid w:val="00660E8E"/>
    <w:rsid w:val="00666593"/>
    <w:rsid w:val="006737E1"/>
    <w:rsid w:val="00677079"/>
    <w:rsid w:val="00693976"/>
    <w:rsid w:val="00695219"/>
    <w:rsid w:val="006974BE"/>
    <w:rsid w:val="006A2CEA"/>
    <w:rsid w:val="006B6B92"/>
    <w:rsid w:val="006B792D"/>
    <w:rsid w:val="006C2BCF"/>
    <w:rsid w:val="006F2DEA"/>
    <w:rsid w:val="006F7C03"/>
    <w:rsid w:val="00702A0E"/>
    <w:rsid w:val="00703E2A"/>
    <w:rsid w:val="007166A3"/>
    <w:rsid w:val="007201A2"/>
    <w:rsid w:val="00721573"/>
    <w:rsid w:val="00731630"/>
    <w:rsid w:val="00752A96"/>
    <w:rsid w:val="00781156"/>
    <w:rsid w:val="00796CA6"/>
    <w:rsid w:val="007B715E"/>
    <w:rsid w:val="007C31F2"/>
    <w:rsid w:val="007D1A72"/>
    <w:rsid w:val="007D2F5B"/>
    <w:rsid w:val="007D78B8"/>
    <w:rsid w:val="007E447C"/>
    <w:rsid w:val="0080551B"/>
    <w:rsid w:val="00807845"/>
    <w:rsid w:val="00807E1B"/>
    <w:rsid w:val="00810EDD"/>
    <w:rsid w:val="00811BFC"/>
    <w:rsid w:val="008127BF"/>
    <w:rsid w:val="00812B77"/>
    <w:rsid w:val="008159E6"/>
    <w:rsid w:val="00817D49"/>
    <w:rsid w:val="008449F9"/>
    <w:rsid w:val="00854FF2"/>
    <w:rsid w:val="008554BE"/>
    <w:rsid w:val="00860632"/>
    <w:rsid w:val="0087000C"/>
    <w:rsid w:val="0087506E"/>
    <w:rsid w:val="00882314"/>
    <w:rsid w:val="00883B45"/>
    <w:rsid w:val="00886C32"/>
    <w:rsid w:val="00894F03"/>
    <w:rsid w:val="00895B06"/>
    <w:rsid w:val="008A4426"/>
    <w:rsid w:val="008A48CA"/>
    <w:rsid w:val="008A5E6D"/>
    <w:rsid w:val="008B3E92"/>
    <w:rsid w:val="008B7726"/>
    <w:rsid w:val="008E00FF"/>
    <w:rsid w:val="008E4AE8"/>
    <w:rsid w:val="008F3D56"/>
    <w:rsid w:val="008F6D67"/>
    <w:rsid w:val="008F7A35"/>
    <w:rsid w:val="00901432"/>
    <w:rsid w:val="009115D4"/>
    <w:rsid w:val="00917BA5"/>
    <w:rsid w:val="009234B7"/>
    <w:rsid w:val="009409DB"/>
    <w:rsid w:val="00944184"/>
    <w:rsid w:val="009608CD"/>
    <w:rsid w:val="00972F9E"/>
    <w:rsid w:val="00973063"/>
    <w:rsid w:val="009746E6"/>
    <w:rsid w:val="00976E43"/>
    <w:rsid w:val="009822BF"/>
    <w:rsid w:val="00983919"/>
    <w:rsid w:val="00984787"/>
    <w:rsid w:val="00987E75"/>
    <w:rsid w:val="00994B02"/>
    <w:rsid w:val="009C3A4E"/>
    <w:rsid w:val="009D587A"/>
    <w:rsid w:val="009E1383"/>
    <w:rsid w:val="009F0A95"/>
    <w:rsid w:val="00A1301A"/>
    <w:rsid w:val="00A2378D"/>
    <w:rsid w:val="00A250C3"/>
    <w:rsid w:val="00A268C5"/>
    <w:rsid w:val="00A41549"/>
    <w:rsid w:val="00A45540"/>
    <w:rsid w:val="00A551A1"/>
    <w:rsid w:val="00A811B0"/>
    <w:rsid w:val="00A82430"/>
    <w:rsid w:val="00A93A1B"/>
    <w:rsid w:val="00A9521A"/>
    <w:rsid w:val="00AA1019"/>
    <w:rsid w:val="00AA356E"/>
    <w:rsid w:val="00AA498A"/>
    <w:rsid w:val="00AA5FC9"/>
    <w:rsid w:val="00AD59E2"/>
    <w:rsid w:val="00AF30A3"/>
    <w:rsid w:val="00AF61B8"/>
    <w:rsid w:val="00B0005E"/>
    <w:rsid w:val="00B135DF"/>
    <w:rsid w:val="00B1659B"/>
    <w:rsid w:val="00B26DCD"/>
    <w:rsid w:val="00B41481"/>
    <w:rsid w:val="00B53334"/>
    <w:rsid w:val="00B63C8E"/>
    <w:rsid w:val="00B650BD"/>
    <w:rsid w:val="00B66116"/>
    <w:rsid w:val="00B71C0B"/>
    <w:rsid w:val="00B72809"/>
    <w:rsid w:val="00B73C2F"/>
    <w:rsid w:val="00B774CC"/>
    <w:rsid w:val="00B779F9"/>
    <w:rsid w:val="00B868E9"/>
    <w:rsid w:val="00B920E1"/>
    <w:rsid w:val="00BA1532"/>
    <w:rsid w:val="00BA238E"/>
    <w:rsid w:val="00BB6E42"/>
    <w:rsid w:val="00BC11E3"/>
    <w:rsid w:val="00BC1348"/>
    <w:rsid w:val="00BC4F07"/>
    <w:rsid w:val="00BC7EDB"/>
    <w:rsid w:val="00BD48CA"/>
    <w:rsid w:val="00C01BBD"/>
    <w:rsid w:val="00C11619"/>
    <w:rsid w:val="00C1405A"/>
    <w:rsid w:val="00C15AA7"/>
    <w:rsid w:val="00C1685F"/>
    <w:rsid w:val="00C177FE"/>
    <w:rsid w:val="00C20E8F"/>
    <w:rsid w:val="00C23D29"/>
    <w:rsid w:val="00C24983"/>
    <w:rsid w:val="00C42889"/>
    <w:rsid w:val="00C47393"/>
    <w:rsid w:val="00C62AB1"/>
    <w:rsid w:val="00C66E9C"/>
    <w:rsid w:val="00C725CD"/>
    <w:rsid w:val="00C75DF7"/>
    <w:rsid w:val="00C8217C"/>
    <w:rsid w:val="00C8421A"/>
    <w:rsid w:val="00C861AF"/>
    <w:rsid w:val="00CB3932"/>
    <w:rsid w:val="00CC038C"/>
    <w:rsid w:val="00CC3665"/>
    <w:rsid w:val="00CC7AEA"/>
    <w:rsid w:val="00CE59C6"/>
    <w:rsid w:val="00CF1866"/>
    <w:rsid w:val="00D11BA5"/>
    <w:rsid w:val="00D16790"/>
    <w:rsid w:val="00D22E8D"/>
    <w:rsid w:val="00D31D50"/>
    <w:rsid w:val="00D525CC"/>
    <w:rsid w:val="00D532C9"/>
    <w:rsid w:val="00D71E9B"/>
    <w:rsid w:val="00D80F93"/>
    <w:rsid w:val="00D8151F"/>
    <w:rsid w:val="00D91CDD"/>
    <w:rsid w:val="00D93C02"/>
    <w:rsid w:val="00D9429F"/>
    <w:rsid w:val="00D95797"/>
    <w:rsid w:val="00D97ABE"/>
    <w:rsid w:val="00DA2118"/>
    <w:rsid w:val="00DA5083"/>
    <w:rsid w:val="00DB7E80"/>
    <w:rsid w:val="00DD738E"/>
    <w:rsid w:val="00DE0FC0"/>
    <w:rsid w:val="00DE284A"/>
    <w:rsid w:val="00DE47D9"/>
    <w:rsid w:val="00DF0C38"/>
    <w:rsid w:val="00DF589D"/>
    <w:rsid w:val="00E041FB"/>
    <w:rsid w:val="00E1408F"/>
    <w:rsid w:val="00E1481A"/>
    <w:rsid w:val="00E155F2"/>
    <w:rsid w:val="00E1640B"/>
    <w:rsid w:val="00E1724A"/>
    <w:rsid w:val="00E340CB"/>
    <w:rsid w:val="00E355DD"/>
    <w:rsid w:val="00E442FA"/>
    <w:rsid w:val="00E52DCB"/>
    <w:rsid w:val="00E57422"/>
    <w:rsid w:val="00E864CA"/>
    <w:rsid w:val="00E955F6"/>
    <w:rsid w:val="00E97248"/>
    <w:rsid w:val="00EA0D2D"/>
    <w:rsid w:val="00EB1F9B"/>
    <w:rsid w:val="00EC17F9"/>
    <w:rsid w:val="00EC2197"/>
    <w:rsid w:val="00ED31D7"/>
    <w:rsid w:val="00ED604C"/>
    <w:rsid w:val="00EE39AC"/>
    <w:rsid w:val="00EE40FF"/>
    <w:rsid w:val="00EF1290"/>
    <w:rsid w:val="00F030A3"/>
    <w:rsid w:val="00F03FBB"/>
    <w:rsid w:val="00F174F4"/>
    <w:rsid w:val="00F205D9"/>
    <w:rsid w:val="00F2202E"/>
    <w:rsid w:val="00F26528"/>
    <w:rsid w:val="00F64B80"/>
    <w:rsid w:val="00F740AB"/>
    <w:rsid w:val="00F829C0"/>
    <w:rsid w:val="00F86D0A"/>
    <w:rsid w:val="00F94654"/>
    <w:rsid w:val="00F95828"/>
    <w:rsid w:val="00FB1D90"/>
    <w:rsid w:val="00FC7F32"/>
    <w:rsid w:val="00FD31FF"/>
    <w:rsid w:val="00FD45CD"/>
    <w:rsid w:val="00FD6AC7"/>
    <w:rsid w:val="00FE5CDB"/>
    <w:rsid w:val="00FF75CC"/>
    <w:rsid w:val="03374F36"/>
    <w:rsid w:val="0361440A"/>
    <w:rsid w:val="03DB6DDA"/>
    <w:rsid w:val="03F028BE"/>
    <w:rsid w:val="040F3E66"/>
    <w:rsid w:val="04B0389B"/>
    <w:rsid w:val="057B0431"/>
    <w:rsid w:val="064F0AAD"/>
    <w:rsid w:val="067A4160"/>
    <w:rsid w:val="069B7C33"/>
    <w:rsid w:val="06F86E33"/>
    <w:rsid w:val="072A7934"/>
    <w:rsid w:val="07763677"/>
    <w:rsid w:val="077E1A2E"/>
    <w:rsid w:val="07846919"/>
    <w:rsid w:val="07E029EC"/>
    <w:rsid w:val="08382B2A"/>
    <w:rsid w:val="083E4D1A"/>
    <w:rsid w:val="08890636"/>
    <w:rsid w:val="08DE5A52"/>
    <w:rsid w:val="09D02788"/>
    <w:rsid w:val="09D43B87"/>
    <w:rsid w:val="0A0B50CF"/>
    <w:rsid w:val="0AD429B2"/>
    <w:rsid w:val="0AE044DF"/>
    <w:rsid w:val="0B472137"/>
    <w:rsid w:val="0B6E00A7"/>
    <w:rsid w:val="0BA94BA0"/>
    <w:rsid w:val="0C317521"/>
    <w:rsid w:val="0C4A3881"/>
    <w:rsid w:val="0C6D3162"/>
    <w:rsid w:val="0CDD71F7"/>
    <w:rsid w:val="0D1F3451"/>
    <w:rsid w:val="0D42705A"/>
    <w:rsid w:val="0D961154"/>
    <w:rsid w:val="0DE068A9"/>
    <w:rsid w:val="0DF34686"/>
    <w:rsid w:val="0DF959AF"/>
    <w:rsid w:val="0E0407B3"/>
    <w:rsid w:val="0E2751E1"/>
    <w:rsid w:val="0E4A266A"/>
    <w:rsid w:val="0E567261"/>
    <w:rsid w:val="0E80608C"/>
    <w:rsid w:val="0F17035E"/>
    <w:rsid w:val="0FB510F2"/>
    <w:rsid w:val="101747CE"/>
    <w:rsid w:val="107517B6"/>
    <w:rsid w:val="10866DC1"/>
    <w:rsid w:val="108C51BC"/>
    <w:rsid w:val="10B169D0"/>
    <w:rsid w:val="1124373B"/>
    <w:rsid w:val="12314E84"/>
    <w:rsid w:val="12F369CC"/>
    <w:rsid w:val="13BB7412"/>
    <w:rsid w:val="14411E19"/>
    <w:rsid w:val="14507177"/>
    <w:rsid w:val="14E629C1"/>
    <w:rsid w:val="14F450DE"/>
    <w:rsid w:val="15137188"/>
    <w:rsid w:val="15581B10"/>
    <w:rsid w:val="15CB47D5"/>
    <w:rsid w:val="15FE2D02"/>
    <w:rsid w:val="161A5018"/>
    <w:rsid w:val="16810BF3"/>
    <w:rsid w:val="17125CEF"/>
    <w:rsid w:val="17313342"/>
    <w:rsid w:val="1791130A"/>
    <w:rsid w:val="17A34B99"/>
    <w:rsid w:val="17CA0378"/>
    <w:rsid w:val="18574301"/>
    <w:rsid w:val="18622CA6"/>
    <w:rsid w:val="19297FBA"/>
    <w:rsid w:val="19D21766"/>
    <w:rsid w:val="1A430ECE"/>
    <w:rsid w:val="1B241E91"/>
    <w:rsid w:val="1B5508A0"/>
    <w:rsid w:val="1C350E83"/>
    <w:rsid w:val="1C392C76"/>
    <w:rsid w:val="1CE76CC8"/>
    <w:rsid w:val="1D444728"/>
    <w:rsid w:val="1D58265F"/>
    <w:rsid w:val="1DBE10C0"/>
    <w:rsid w:val="1E3D5039"/>
    <w:rsid w:val="1E5E181A"/>
    <w:rsid w:val="1EC41FC5"/>
    <w:rsid w:val="1F5E781E"/>
    <w:rsid w:val="1F8B663F"/>
    <w:rsid w:val="1FF266BE"/>
    <w:rsid w:val="20287B85"/>
    <w:rsid w:val="206F5F60"/>
    <w:rsid w:val="21336F8E"/>
    <w:rsid w:val="213571AA"/>
    <w:rsid w:val="214265C8"/>
    <w:rsid w:val="21A8740B"/>
    <w:rsid w:val="21CC7794"/>
    <w:rsid w:val="222608A0"/>
    <w:rsid w:val="242157C3"/>
    <w:rsid w:val="245C67FB"/>
    <w:rsid w:val="247E2C16"/>
    <w:rsid w:val="250D7824"/>
    <w:rsid w:val="253A3D5B"/>
    <w:rsid w:val="25537BFE"/>
    <w:rsid w:val="25950217"/>
    <w:rsid w:val="25B35A34"/>
    <w:rsid w:val="26617E4F"/>
    <w:rsid w:val="26832765"/>
    <w:rsid w:val="26AA5F44"/>
    <w:rsid w:val="27541E7A"/>
    <w:rsid w:val="28335D96"/>
    <w:rsid w:val="286363AA"/>
    <w:rsid w:val="286A4B96"/>
    <w:rsid w:val="292D0766"/>
    <w:rsid w:val="29361D11"/>
    <w:rsid w:val="299802D6"/>
    <w:rsid w:val="299D769A"/>
    <w:rsid w:val="29FB05E8"/>
    <w:rsid w:val="2A275D31"/>
    <w:rsid w:val="2A6F54DA"/>
    <w:rsid w:val="2A742AF1"/>
    <w:rsid w:val="2AD55FB6"/>
    <w:rsid w:val="2AF76D33"/>
    <w:rsid w:val="2B001D29"/>
    <w:rsid w:val="2B0A5203"/>
    <w:rsid w:val="2B1E480B"/>
    <w:rsid w:val="2B3043E2"/>
    <w:rsid w:val="2B621EB2"/>
    <w:rsid w:val="2B822FEC"/>
    <w:rsid w:val="2C3818FC"/>
    <w:rsid w:val="2C8763E0"/>
    <w:rsid w:val="2D3C3E22"/>
    <w:rsid w:val="2D401696"/>
    <w:rsid w:val="2E67109A"/>
    <w:rsid w:val="2F77098D"/>
    <w:rsid w:val="2FE34275"/>
    <w:rsid w:val="30186B58"/>
    <w:rsid w:val="30FF7CCD"/>
    <w:rsid w:val="316F4012"/>
    <w:rsid w:val="31A725A3"/>
    <w:rsid w:val="3244724D"/>
    <w:rsid w:val="33550FE6"/>
    <w:rsid w:val="335A484E"/>
    <w:rsid w:val="33F00D0E"/>
    <w:rsid w:val="34C44675"/>
    <w:rsid w:val="34C46423"/>
    <w:rsid w:val="35E87EEF"/>
    <w:rsid w:val="36C95F72"/>
    <w:rsid w:val="36CA5847"/>
    <w:rsid w:val="37557806"/>
    <w:rsid w:val="384A42A5"/>
    <w:rsid w:val="38A35F7C"/>
    <w:rsid w:val="395576E0"/>
    <w:rsid w:val="39CC3159"/>
    <w:rsid w:val="39CE684A"/>
    <w:rsid w:val="39D22214"/>
    <w:rsid w:val="3A4164A5"/>
    <w:rsid w:val="3A6F6E31"/>
    <w:rsid w:val="3A873B57"/>
    <w:rsid w:val="3B066C0F"/>
    <w:rsid w:val="3B765F9D"/>
    <w:rsid w:val="3B9356EC"/>
    <w:rsid w:val="3BE64ED1"/>
    <w:rsid w:val="3C174D66"/>
    <w:rsid w:val="3C2D641B"/>
    <w:rsid w:val="3C48097A"/>
    <w:rsid w:val="3C5207B8"/>
    <w:rsid w:val="3C886DE1"/>
    <w:rsid w:val="3D001FC2"/>
    <w:rsid w:val="3D510A70"/>
    <w:rsid w:val="3D534EB2"/>
    <w:rsid w:val="3D7D1865"/>
    <w:rsid w:val="3E7E2A01"/>
    <w:rsid w:val="3EBE2135"/>
    <w:rsid w:val="3F426DA7"/>
    <w:rsid w:val="3FA702E9"/>
    <w:rsid w:val="40AB2A48"/>
    <w:rsid w:val="40ED4D0D"/>
    <w:rsid w:val="41B07EFD"/>
    <w:rsid w:val="42BC5757"/>
    <w:rsid w:val="43695D63"/>
    <w:rsid w:val="438A6DA1"/>
    <w:rsid w:val="43D74698"/>
    <w:rsid w:val="43F530D0"/>
    <w:rsid w:val="446077EA"/>
    <w:rsid w:val="44A616A1"/>
    <w:rsid w:val="44B36F68"/>
    <w:rsid w:val="45120AE5"/>
    <w:rsid w:val="453C2005"/>
    <w:rsid w:val="45AF31BB"/>
    <w:rsid w:val="46B75F04"/>
    <w:rsid w:val="47665118"/>
    <w:rsid w:val="4770243A"/>
    <w:rsid w:val="4778453A"/>
    <w:rsid w:val="47971775"/>
    <w:rsid w:val="479E48B1"/>
    <w:rsid w:val="47EA2ED8"/>
    <w:rsid w:val="47FE35A2"/>
    <w:rsid w:val="48362D3C"/>
    <w:rsid w:val="4867383D"/>
    <w:rsid w:val="49EC173D"/>
    <w:rsid w:val="4A975B98"/>
    <w:rsid w:val="4AE44DAD"/>
    <w:rsid w:val="4B1516BC"/>
    <w:rsid w:val="4BAF1783"/>
    <w:rsid w:val="4BC468B1"/>
    <w:rsid w:val="4BDD5BE0"/>
    <w:rsid w:val="4BFA282F"/>
    <w:rsid w:val="4C87625C"/>
    <w:rsid w:val="4C8A3531"/>
    <w:rsid w:val="4CF82CB6"/>
    <w:rsid w:val="4DE13DC5"/>
    <w:rsid w:val="4DE6056C"/>
    <w:rsid w:val="4E1B7D06"/>
    <w:rsid w:val="4E5A52AA"/>
    <w:rsid w:val="4F147B4F"/>
    <w:rsid w:val="4F337227"/>
    <w:rsid w:val="4F3B1580"/>
    <w:rsid w:val="50022F58"/>
    <w:rsid w:val="501A73E7"/>
    <w:rsid w:val="50581662"/>
    <w:rsid w:val="509159B4"/>
    <w:rsid w:val="50AD1AED"/>
    <w:rsid w:val="50D650BC"/>
    <w:rsid w:val="50ED3AD1"/>
    <w:rsid w:val="50F25C6E"/>
    <w:rsid w:val="511F03A4"/>
    <w:rsid w:val="524E5126"/>
    <w:rsid w:val="527F3531"/>
    <w:rsid w:val="53001E96"/>
    <w:rsid w:val="532760A3"/>
    <w:rsid w:val="53355DEE"/>
    <w:rsid w:val="53C91DA4"/>
    <w:rsid w:val="544607AB"/>
    <w:rsid w:val="54BC0A6D"/>
    <w:rsid w:val="54D04518"/>
    <w:rsid w:val="55425416"/>
    <w:rsid w:val="55E71B19"/>
    <w:rsid w:val="56331806"/>
    <w:rsid w:val="56532F99"/>
    <w:rsid w:val="565C2507"/>
    <w:rsid w:val="578A6C00"/>
    <w:rsid w:val="578F06BB"/>
    <w:rsid w:val="57BC2D57"/>
    <w:rsid w:val="58D85367"/>
    <w:rsid w:val="59030A18"/>
    <w:rsid w:val="593A5ADF"/>
    <w:rsid w:val="59AC10B0"/>
    <w:rsid w:val="5A492B85"/>
    <w:rsid w:val="5A643739"/>
    <w:rsid w:val="5AB75F5E"/>
    <w:rsid w:val="5AE302FB"/>
    <w:rsid w:val="5BD112A2"/>
    <w:rsid w:val="5BDF731D"/>
    <w:rsid w:val="5C2238AB"/>
    <w:rsid w:val="5C485C2B"/>
    <w:rsid w:val="5C6458F6"/>
    <w:rsid w:val="5C910060"/>
    <w:rsid w:val="5D170F36"/>
    <w:rsid w:val="5D431D2B"/>
    <w:rsid w:val="5D443CF5"/>
    <w:rsid w:val="5DF254FF"/>
    <w:rsid w:val="5F322057"/>
    <w:rsid w:val="5F447FDD"/>
    <w:rsid w:val="5F572382"/>
    <w:rsid w:val="60293973"/>
    <w:rsid w:val="60593614"/>
    <w:rsid w:val="61176110"/>
    <w:rsid w:val="617C3A5E"/>
    <w:rsid w:val="625247BE"/>
    <w:rsid w:val="625C73EB"/>
    <w:rsid w:val="6426750E"/>
    <w:rsid w:val="642D4FB0"/>
    <w:rsid w:val="64C32B9E"/>
    <w:rsid w:val="65892D49"/>
    <w:rsid w:val="662B7800"/>
    <w:rsid w:val="66B9305E"/>
    <w:rsid w:val="67006EDF"/>
    <w:rsid w:val="6798410A"/>
    <w:rsid w:val="67C13389"/>
    <w:rsid w:val="68AB6E94"/>
    <w:rsid w:val="68ED3493"/>
    <w:rsid w:val="69074DD0"/>
    <w:rsid w:val="694C4B16"/>
    <w:rsid w:val="6A570BC4"/>
    <w:rsid w:val="6A9E4A45"/>
    <w:rsid w:val="6AA342E0"/>
    <w:rsid w:val="6AB278EE"/>
    <w:rsid w:val="6AEE3CC8"/>
    <w:rsid w:val="6B2B2CFA"/>
    <w:rsid w:val="6B724E0D"/>
    <w:rsid w:val="6C1535D6"/>
    <w:rsid w:val="6C2471CC"/>
    <w:rsid w:val="6CB73B9C"/>
    <w:rsid w:val="6CBD4F2A"/>
    <w:rsid w:val="6D3A657B"/>
    <w:rsid w:val="6D4C5634"/>
    <w:rsid w:val="6D777AE3"/>
    <w:rsid w:val="6DA02882"/>
    <w:rsid w:val="6DF45878"/>
    <w:rsid w:val="6EE964AB"/>
    <w:rsid w:val="6F4D3531"/>
    <w:rsid w:val="708D657F"/>
    <w:rsid w:val="70B825D8"/>
    <w:rsid w:val="71C01745"/>
    <w:rsid w:val="71DE1BCB"/>
    <w:rsid w:val="72462B7F"/>
    <w:rsid w:val="728E693F"/>
    <w:rsid w:val="72A50E51"/>
    <w:rsid w:val="73440153"/>
    <w:rsid w:val="73A016D5"/>
    <w:rsid w:val="7466333B"/>
    <w:rsid w:val="747E1443"/>
    <w:rsid w:val="75454A01"/>
    <w:rsid w:val="75517E2E"/>
    <w:rsid w:val="757271FA"/>
    <w:rsid w:val="760065B4"/>
    <w:rsid w:val="765E680F"/>
    <w:rsid w:val="785D5F3F"/>
    <w:rsid w:val="78AA356F"/>
    <w:rsid w:val="78C95383"/>
    <w:rsid w:val="79F301DD"/>
    <w:rsid w:val="7A044DC4"/>
    <w:rsid w:val="7A6C06BC"/>
    <w:rsid w:val="7A9814B1"/>
    <w:rsid w:val="7AEF309B"/>
    <w:rsid w:val="7B130B37"/>
    <w:rsid w:val="7BB37C24"/>
    <w:rsid w:val="7BD75A22"/>
    <w:rsid w:val="7BDF0A19"/>
    <w:rsid w:val="7C8761B8"/>
    <w:rsid w:val="7DE9318C"/>
    <w:rsid w:val="7E1F664A"/>
    <w:rsid w:val="7EA8185C"/>
    <w:rsid w:val="7F20380D"/>
    <w:rsid w:val="7F9B1BC2"/>
    <w:rsid w:val="7FF802F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微软雅黑"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adjustRightInd w:val="0"/>
      <w:snapToGrid w:val="0"/>
      <w:spacing w:after="200"/>
    </w:pPr>
    <w:rPr>
      <w:rFonts w:ascii="Tahoma" w:hAnsi="Tahoma" w:eastAsia="微软雅黑" w:cstheme="minorBidi"/>
      <w:sz w:val="22"/>
      <w:szCs w:val="22"/>
      <w:lang w:val="en-US" w:eastAsia="zh-CN" w:bidi="ar-SA"/>
    </w:rPr>
  </w:style>
  <w:style w:type="paragraph" w:styleId="6">
    <w:name w:val="heading 3"/>
    <w:basedOn w:val="1"/>
    <w:next w:val="1"/>
    <w:link w:val="20"/>
    <w:qFormat/>
    <w:uiPriority w:val="9"/>
    <w:pPr>
      <w:adjustRightInd/>
      <w:snapToGrid/>
      <w:spacing w:before="100" w:beforeAutospacing="1" w:after="100" w:afterAutospacing="1"/>
      <w:outlineLvl w:val="2"/>
    </w:pPr>
    <w:rPr>
      <w:rFonts w:ascii="宋体" w:hAnsi="宋体" w:eastAsia="宋体" w:cs="宋体"/>
      <w:b/>
      <w:bCs/>
      <w:sz w:val="27"/>
      <w:szCs w:val="27"/>
    </w:rPr>
  </w:style>
  <w:style w:type="paragraph" w:styleId="7">
    <w:name w:val="heading 4"/>
    <w:basedOn w:val="1"/>
    <w:next w:val="1"/>
    <w:link w:val="23"/>
    <w:qFormat/>
    <w:uiPriority w:val="0"/>
    <w:pPr>
      <w:keepNext/>
      <w:keepLines/>
      <w:widowControl w:val="0"/>
      <w:adjustRightInd/>
      <w:snapToGrid/>
      <w:spacing w:before="280" w:after="290" w:line="376" w:lineRule="auto"/>
      <w:jc w:val="both"/>
      <w:outlineLvl w:val="3"/>
    </w:pPr>
    <w:rPr>
      <w:rFonts w:ascii="Cambria" w:hAnsi="Cambria" w:eastAsia="宋体" w:cs="Times New Roman"/>
      <w:b/>
      <w:bCs/>
      <w:kern w:val="2"/>
      <w:sz w:val="28"/>
      <w:szCs w:val="28"/>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4"/>
    <w:qFormat/>
    <w:uiPriority w:val="0"/>
    <w:pPr>
      <w:ind w:firstLine="420" w:firstLineChars="200"/>
    </w:pPr>
  </w:style>
  <w:style w:type="paragraph" w:styleId="3">
    <w:name w:val="Body Text Indent"/>
    <w:basedOn w:val="1"/>
    <w:next w:val="1"/>
    <w:qFormat/>
    <w:uiPriority w:val="0"/>
    <w:pPr>
      <w:ind w:firstLine="600" w:firstLineChars="200"/>
    </w:pPr>
    <w:rPr>
      <w:sz w:val="30"/>
    </w:rPr>
  </w:style>
  <w:style w:type="paragraph" w:styleId="4">
    <w:name w:val="Body Text First Indent"/>
    <w:basedOn w:val="5"/>
    <w:qFormat/>
    <w:uiPriority w:val="0"/>
    <w:pPr>
      <w:ind w:firstLine="420" w:firstLineChars="100"/>
    </w:pPr>
    <w:rPr>
      <w:rFonts w:eastAsia="宋体" w:cs="Times New Roman"/>
      <w:szCs w:val="24"/>
    </w:rPr>
  </w:style>
  <w:style w:type="paragraph" w:styleId="5">
    <w:name w:val="Body Text"/>
    <w:basedOn w:val="1"/>
    <w:qFormat/>
    <w:uiPriority w:val="99"/>
    <w:pPr>
      <w:spacing w:after="120"/>
    </w:pPr>
  </w:style>
  <w:style w:type="paragraph" w:styleId="8">
    <w:name w:val="Date"/>
    <w:basedOn w:val="1"/>
    <w:next w:val="1"/>
    <w:link w:val="27"/>
    <w:semiHidden/>
    <w:unhideWhenUsed/>
    <w:qFormat/>
    <w:uiPriority w:val="99"/>
    <w:pPr>
      <w:ind w:left="100" w:leftChars="2500"/>
    </w:pPr>
  </w:style>
  <w:style w:type="paragraph" w:styleId="9">
    <w:name w:val="Balloon Text"/>
    <w:basedOn w:val="1"/>
    <w:link w:val="26"/>
    <w:semiHidden/>
    <w:unhideWhenUsed/>
    <w:qFormat/>
    <w:uiPriority w:val="99"/>
    <w:pPr>
      <w:spacing w:after="0"/>
    </w:pPr>
    <w:rPr>
      <w:sz w:val="18"/>
      <w:szCs w:val="18"/>
    </w:rPr>
  </w:style>
  <w:style w:type="paragraph" w:styleId="10">
    <w:name w:val="footer"/>
    <w:basedOn w:val="1"/>
    <w:link w:val="19"/>
    <w:unhideWhenUsed/>
    <w:qFormat/>
    <w:uiPriority w:val="99"/>
    <w:pPr>
      <w:tabs>
        <w:tab w:val="center" w:pos="4153"/>
        <w:tab w:val="right" w:pos="8306"/>
      </w:tabs>
    </w:pPr>
    <w:rPr>
      <w:sz w:val="18"/>
      <w:szCs w:val="18"/>
    </w:rPr>
  </w:style>
  <w:style w:type="paragraph" w:styleId="11">
    <w:name w:val="header"/>
    <w:basedOn w:val="1"/>
    <w:link w:val="18"/>
    <w:unhideWhenUsed/>
    <w:qFormat/>
    <w:uiPriority w:val="99"/>
    <w:pPr>
      <w:pBdr>
        <w:bottom w:val="single" w:color="auto" w:sz="6" w:space="1"/>
      </w:pBdr>
      <w:tabs>
        <w:tab w:val="center" w:pos="4153"/>
        <w:tab w:val="right" w:pos="8306"/>
      </w:tabs>
      <w:jc w:val="center"/>
    </w:pPr>
    <w:rPr>
      <w:sz w:val="18"/>
      <w:szCs w:val="18"/>
    </w:rPr>
  </w:style>
  <w:style w:type="paragraph" w:styleId="12">
    <w:name w:val="Normal (Web)"/>
    <w:basedOn w:val="1"/>
    <w:unhideWhenUsed/>
    <w:qFormat/>
    <w:uiPriority w:val="99"/>
    <w:pPr>
      <w:adjustRightInd/>
      <w:snapToGrid/>
      <w:spacing w:before="100" w:beforeAutospacing="1" w:after="100" w:afterAutospacing="1"/>
    </w:pPr>
    <w:rPr>
      <w:rFonts w:ascii="宋体" w:hAnsi="宋体" w:eastAsia="宋体" w:cs="宋体"/>
      <w:sz w:val="24"/>
      <w:szCs w:val="24"/>
    </w:rPr>
  </w:style>
  <w:style w:type="character" w:styleId="15">
    <w:name w:val="Strong"/>
    <w:basedOn w:val="14"/>
    <w:qFormat/>
    <w:uiPriority w:val="22"/>
    <w:rPr>
      <w:b/>
      <w:bCs/>
    </w:rPr>
  </w:style>
  <w:style w:type="character" w:styleId="16">
    <w:name w:val="Emphasis"/>
    <w:basedOn w:val="14"/>
    <w:qFormat/>
    <w:uiPriority w:val="20"/>
    <w:rPr>
      <w:i/>
      <w:iCs/>
    </w:rPr>
  </w:style>
  <w:style w:type="character" w:styleId="17">
    <w:name w:val="Hyperlink"/>
    <w:basedOn w:val="14"/>
    <w:unhideWhenUsed/>
    <w:qFormat/>
    <w:uiPriority w:val="99"/>
    <w:rPr>
      <w:color w:val="0000FF" w:themeColor="hyperlink"/>
      <w:u w:val="single"/>
      <w14:textFill>
        <w14:solidFill>
          <w14:schemeClr w14:val="hlink"/>
        </w14:solidFill>
      </w14:textFill>
    </w:rPr>
  </w:style>
  <w:style w:type="character" w:customStyle="1" w:styleId="18">
    <w:name w:val="页眉 Char"/>
    <w:basedOn w:val="14"/>
    <w:link w:val="11"/>
    <w:qFormat/>
    <w:uiPriority w:val="99"/>
    <w:rPr>
      <w:rFonts w:ascii="Tahoma" w:hAnsi="Tahoma"/>
      <w:sz w:val="18"/>
      <w:szCs w:val="18"/>
    </w:rPr>
  </w:style>
  <w:style w:type="character" w:customStyle="1" w:styleId="19">
    <w:name w:val="页脚 Char"/>
    <w:basedOn w:val="14"/>
    <w:link w:val="10"/>
    <w:qFormat/>
    <w:uiPriority w:val="99"/>
    <w:rPr>
      <w:rFonts w:ascii="Tahoma" w:hAnsi="Tahoma"/>
      <w:sz w:val="18"/>
      <w:szCs w:val="18"/>
    </w:rPr>
  </w:style>
  <w:style w:type="character" w:customStyle="1" w:styleId="20">
    <w:name w:val="标题 3 Char"/>
    <w:basedOn w:val="14"/>
    <w:link w:val="6"/>
    <w:qFormat/>
    <w:uiPriority w:val="9"/>
    <w:rPr>
      <w:rFonts w:ascii="宋体" w:hAnsi="宋体" w:eastAsia="宋体" w:cs="宋体"/>
      <w:b/>
      <w:bCs/>
      <w:sz w:val="27"/>
      <w:szCs w:val="27"/>
    </w:rPr>
  </w:style>
  <w:style w:type="paragraph" w:styleId="21">
    <w:name w:val="List Paragraph"/>
    <w:basedOn w:val="1"/>
    <w:qFormat/>
    <w:uiPriority w:val="0"/>
    <w:pPr>
      <w:ind w:firstLine="420" w:firstLineChars="200"/>
    </w:pPr>
  </w:style>
  <w:style w:type="paragraph" w:customStyle="1" w:styleId="22">
    <w:name w:val="正文 New New New New New New New New New New New New New New New New"/>
    <w:qFormat/>
    <w:uiPriority w:val="0"/>
    <w:pPr>
      <w:widowControl w:val="0"/>
      <w:spacing w:line="400" w:lineRule="exact"/>
      <w:ind w:firstLine="200" w:firstLineChars="200"/>
      <w:jc w:val="both"/>
    </w:pPr>
    <w:rPr>
      <w:rFonts w:ascii="Calibri" w:hAnsi="Calibri" w:eastAsia="宋体" w:cs="黑体"/>
      <w:lang w:val="en-US" w:eastAsia="zh-CN" w:bidi="ar-SA"/>
    </w:rPr>
  </w:style>
  <w:style w:type="character" w:customStyle="1" w:styleId="23">
    <w:name w:val="标题 4 Char"/>
    <w:basedOn w:val="14"/>
    <w:link w:val="7"/>
    <w:qFormat/>
    <w:uiPriority w:val="0"/>
    <w:rPr>
      <w:rFonts w:ascii="Cambria" w:hAnsi="Cambria" w:eastAsia="宋体" w:cs="Times New Roman"/>
      <w:b/>
      <w:bCs/>
      <w:kern w:val="2"/>
      <w:sz w:val="28"/>
      <w:szCs w:val="28"/>
    </w:rPr>
  </w:style>
  <w:style w:type="character" w:customStyle="1" w:styleId="24">
    <w:name w:val="NormalCharacter"/>
    <w:semiHidden/>
    <w:qFormat/>
    <w:uiPriority w:val="0"/>
  </w:style>
  <w:style w:type="character" w:customStyle="1" w:styleId="25">
    <w:name w:val="apple-converted-space"/>
    <w:basedOn w:val="14"/>
    <w:qFormat/>
    <w:uiPriority w:val="0"/>
  </w:style>
  <w:style w:type="character" w:customStyle="1" w:styleId="26">
    <w:name w:val="批注框文本 Char"/>
    <w:basedOn w:val="14"/>
    <w:link w:val="9"/>
    <w:semiHidden/>
    <w:qFormat/>
    <w:uiPriority w:val="99"/>
    <w:rPr>
      <w:rFonts w:ascii="Tahoma" w:hAnsi="Tahoma"/>
      <w:sz w:val="18"/>
      <w:szCs w:val="18"/>
    </w:rPr>
  </w:style>
  <w:style w:type="character" w:customStyle="1" w:styleId="27">
    <w:name w:val="日期 Char"/>
    <w:basedOn w:val="14"/>
    <w:link w:val="8"/>
    <w:semiHidden/>
    <w:qFormat/>
    <w:uiPriority w:val="99"/>
    <w:rPr>
      <w:rFonts w:ascii="Tahoma" w:hAnsi="Tahoma"/>
      <w:sz w:val="22"/>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F5ED3A4B-7C18-42C6-A4FD-7B4A176C1465}">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6</Pages>
  <Words>2710</Words>
  <Characters>2774</Characters>
  <Lines>56</Lines>
  <Paragraphs>15</Paragraphs>
  <TotalTime>0</TotalTime>
  <ScaleCrop>false</ScaleCrop>
  <LinksUpToDate>false</LinksUpToDate>
  <CharactersWithSpaces>2846</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2021-09-29T09:49:00Z</dcterms:created>
  <dc:creator>Administrator</dc:creator>
  <cp:lastModifiedBy>花开的季节要来了吧</cp:lastModifiedBy>
  <cp:lastPrinted>2023-03-02T06:29:00Z</cp:lastPrinted>
  <dcterms:modified xsi:type="dcterms:W3CDTF">2023-03-02T09:28:17Z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FCEA60D351484B19B36B285854500F7B</vt:lpwstr>
  </property>
</Properties>
</file>