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B0066">
      <w:pPr>
        <w:keepNext w:val="0"/>
        <w:keepLines w:val="0"/>
        <w:widowControl/>
        <w:suppressLineNumbers w:val="0"/>
        <w:ind w:left="0" w:leftChars="0" w:firstLine="0" w:firstLineChars="0"/>
        <w:jc w:val="center"/>
        <w:textAlignment w:val="center"/>
        <w:rPr>
          <w:rFonts w:hint="eastAsia" w:ascii="方正小标宋_GBK" w:hAnsi="方正小标宋_GBK" w:eastAsia="方正小标宋_GBK" w:cs="方正小标宋_GBK"/>
          <w:b w:val="0"/>
          <w:i w:val="0"/>
          <w:iCs w:val="0"/>
          <w:color w:val="000000"/>
          <w:sz w:val="40"/>
          <w:szCs w:val="40"/>
          <w:u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i w:val="0"/>
          <w:iCs w:val="0"/>
          <w:color w:val="000000"/>
          <w:sz w:val="40"/>
          <w:szCs w:val="40"/>
          <w:u w:val="none"/>
          <w:lang w:eastAsia="zh-CN"/>
        </w:rPr>
        <w:t>征求意见采纳情况汇总表</w:t>
      </w:r>
    </w:p>
    <w:p w14:paraId="79DE19C6">
      <w:pPr>
        <w:keepNext w:val="0"/>
        <w:keepLines w:val="0"/>
        <w:widowControl/>
        <w:suppressLineNumbers w:val="0"/>
        <w:ind w:left="0" w:leftChars="0" w:firstLine="0" w:firstLineChars="0"/>
        <w:jc w:val="center"/>
        <w:textAlignment w:val="center"/>
        <w:rPr>
          <w:rFonts w:hint="eastAsia" w:ascii="方正小标宋_GBK" w:hAnsi="方正小标宋_GBK" w:eastAsia="方正小标宋_GBK" w:cs="方正小标宋_GBK"/>
          <w:b w:val="0"/>
          <w:i w:val="0"/>
          <w:iCs w:val="0"/>
          <w:color w:val="000000"/>
          <w:sz w:val="40"/>
          <w:szCs w:val="40"/>
          <w:u w:val="none"/>
          <w:lang w:eastAsia="zh-CN"/>
        </w:rPr>
      </w:pP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383"/>
        <w:gridCol w:w="1368"/>
        <w:gridCol w:w="8503"/>
      </w:tblGrid>
      <w:tr w14:paraId="2419F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5302DB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序号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51E7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反馈建议内容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5C43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采纳情况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070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理由</w:t>
            </w:r>
          </w:p>
        </w:tc>
      </w:tr>
      <w:tr w14:paraId="3E54C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ACE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B9E9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建议将德国牧羊犬移出禁养名录，优化犬只体型判定标准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DD0A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435BFA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牧羊犬领地意识、捕猎本能较强，普通市民非专业饲养存在失控风险；我市城区人口密集，大型犬受惊吓后爆发力强，易造成人身伤害。“肩高50厘米、体长60厘米”为风险防控底线标准，用于从物理层面化解安全隐患，故该建议不予采纳。</w:t>
            </w:r>
          </w:p>
        </w:tc>
      </w:tr>
      <w:tr w14:paraId="34357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7C6F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1577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建议取消非禁养犬种肩高、体长限制，增加小型烈性犬纳入禁养管理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4B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不予采纳，部分意见留作后续监管工作参考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2F1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犬只攻击风险和体型力量直接相关，大型犬爆发冲击力大，普通市民难以控制，体型限制标准应当予以保留；禁养名录结合权威名录及本地犬只伤人警情综合研判，现阶段暂不作调整。后续将重点落实犬只牵绳制度，加大对不牵绳违规行为处罚力度。</w:t>
            </w:r>
          </w:p>
        </w:tc>
      </w:tr>
      <w:tr w14:paraId="7733F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B714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A17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建议阿拉斯加雪橇犬移出禁养名录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6D3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05EE6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阿拉斯加雪橇犬体能强，存在潜在不可控风险，城市普通家庭非专业饲养易引发安全问题，纳入严格管控是保障公众安全的需要，不同意移出禁养、严管范围。</w:t>
            </w:r>
          </w:p>
        </w:tc>
      </w:tr>
      <w:tr w14:paraId="6E5FE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F99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7A4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建议将阿拉斯加雪橇犬移出烈性犬名录，将体型体长标准调整至70cm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1FCC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F86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阿拉斯加雪橇犬体能突出，存在不可控风险，需要严格管控；“肩高50厘米、体长60厘米”结合我市城区人口密集、公共空间有限现状测算确定，属于风险防控底线，不建议调整数值。</w:t>
            </w:r>
          </w:p>
        </w:tc>
      </w:tr>
      <w:tr w14:paraId="52E0B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08D6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849D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建议取消体型“一刀切”管控，剔除性格温顺犬种，政策设置实施过渡期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B8D2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E763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犬受外界刺激产生的爆发力足以造成严重人身伤害，体型标准属于风险防控物理底线，不宜取消；禁养名录依据权威资料结合本地实际确定，暂不调整；设置过渡期会影响政策严肃性与执法公平，因此不予采纳。</w:t>
            </w:r>
          </w:p>
        </w:tc>
      </w:tr>
      <w:tr w14:paraId="50014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35B6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C37E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建议调整大型犬认定标准，区分烈性犬与大型犬，建立有条件准养制度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832C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A39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犬只风险不单单由性格决定，体型力量是重要风险因素，大型犬普通群众难以徒手管控；目前国家未出台犬只个体行为评估统一标准，缺少落地法律依据和实操条件，继续执行“品种+体型”客观判定标准。</w:t>
            </w:r>
          </w:p>
        </w:tc>
      </w:tr>
      <w:tr w14:paraId="7D7F6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BBB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6DED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建议文明养犬才是管理核心，不应当笼统对犬只进行禁止管理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D6CD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082D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倡导文明养犬是养犬管理基础，但大型犬自身体型力量自带物理风险，仅依靠饲养人自觉无法完全规避突发伤人事件。工作中将兼顾文明养犬宣传引导与品种、体型源头管控，两项措施同步落实。</w:t>
            </w:r>
          </w:p>
        </w:tc>
      </w:tr>
      <w:tr w14:paraId="0C3C2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F0F7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147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建议放宽体型判定阈值，设置存量犬豁免机制，实行以犬只行为管控为主的管理模式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F92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8CE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行体型标准是立足公共安全测算得出的安全底线，不宜放宽；缺少国家统一犬只行为评估法定标准，个体评估会放大执法自由裁量权，容易造成执法不公，继续执行“品种+体型”客观判定标准；为维护法规严肃性，不设置存量犬豁免通道。</w:t>
            </w:r>
          </w:p>
        </w:tc>
      </w:tr>
      <w:tr w14:paraId="2E733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3EB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63C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建议引入犬只行为测试机制，动态调整禁养犬名录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6BF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61E8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国家暂无具备法律效力的犬只行为评估标准及认证体系，缺少执法依据；在国家相关标准出台前，为保障执法公平、严肃、可落地，执行“品种+体型”客观判定标准，暂不推行行为测试替代方案。</w:t>
            </w:r>
          </w:p>
        </w:tc>
      </w:tr>
      <w:tr w14:paraId="62025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E52C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A5B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建议区分犬种性格属性，优化体型阈值适用范围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E11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1396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犬只危险性不能只参考性格，大型犬先天力量带来不可控风险，即便性格温顺，受惊后也极易伤人。现行标准目标是消除大型犬潜在安全风险，不因犬只性格差异放宽体型限制。</w:t>
            </w:r>
          </w:p>
        </w:tc>
      </w:tr>
      <w:tr w14:paraId="36353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0A8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191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建议将禁养名录调整为重点管理清单，强化社区管理，公开犬只伤人相关数据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76E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0E6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大型犬体型带来的客观风险，不能仅依靠社区登记、饲养人承诺化解，禁养品种、体型安全底线标准暂不改动；伤人数据公开、强化社区管理相关建议，将在后续工作予以参考运用。</w:t>
            </w:r>
          </w:p>
        </w:tc>
      </w:tr>
      <w:tr w14:paraId="6234B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972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299F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建议适度放开温顺中大型犬饲养，重点严厉处罚伤人犬只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885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1F7C3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大型犬的潜在风险在于其体型力量导致的不可控性，即便温顺也可能在突发状况下伤人。因此，不能简单放开温顺中大型犬的饲养限制，仍需严格执行体型禁养标准，同时持续严处各类伤人违规行为。</w:t>
            </w:r>
          </w:p>
        </w:tc>
      </w:tr>
      <w:tr w14:paraId="30A98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D87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234F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建议对金毛、拉布拉多等工作、抚慰犬放宽体型管控标准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8A75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FB7D2C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除法律规定盲人导盲犬等特种工作犬外，普通家庭饲养金毛、拉布拉多等犬只，即便性格温顺，体型力量依旧存在公共安全隐患；暂无国家统一行为评估依据，该类犬只仍执行体型管控，不放宽标准。</w:t>
            </w:r>
          </w:p>
        </w:tc>
      </w:tr>
      <w:tr w14:paraId="5D287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F5AF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69C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建议明确导盲犬等工作犬禁养政策边界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D4A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5E63B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  <w:t>根据相关法律法规，盲人携带的导盲犬等特殊工作犬，在具备合法证件和专业训练证明的前提下，允许进入公共场所和乘坐公共交通工具，不受普通禁养限制。具体管理办法将按国家有关规定执行。</w:t>
            </w:r>
          </w:p>
        </w:tc>
      </w:tr>
      <w:tr w14:paraId="18944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C7B8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9930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建议将体型超标的贵宾犬等温顺犬种设立白名单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97C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51F522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成年犬只要肩高超50厘米或者体长超60厘米，即达到禁养体型标准，该标准为风险防控底线，不因为犬种性格温顺予以豁免，无法设置对应白名单。</w:t>
            </w:r>
          </w:p>
        </w:tc>
      </w:tr>
      <w:tr w14:paraId="4794A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BEE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121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建议参考深圳、乌鲁木齐模式，取消体型限制，采用“黑名单+行为约束”管理模式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429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0BF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城市人口密度、公共空间、治安条件存在差异，政策需要因地制宜。我市城区人口密集，体型限制是防范大型犬风险有效手段；且因国家尚无统一行为评估标准，无法实行“行为约束替代体型限制”的模式，故暂不采纳取消体型限制的建议。</w:t>
            </w:r>
          </w:p>
        </w:tc>
      </w:tr>
      <w:tr w14:paraId="0750C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8E9C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70E3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建议取消体型红线，优化禁养名录，强制犬只外出佩戴嘴套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18A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不予采纳；部分意见留作后续监管工作参考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8F7D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  <w:t>体型红线是保障公共安全的物理底线，不宜取消。关于强制佩戴嘴套等外出约束措施，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在日常监管执法中严格落实，强化对犬只外出行为的规范约束，切实防范犬只伤人风险。</w:t>
            </w:r>
          </w:p>
        </w:tc>
      </w:tr>
      <w:tr w14:paraId="15AAF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A749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620A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建议实行“个体评估+行为管理”双轨制度，政策设置过渡期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2027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0C7D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国家尚未出台犬只行为评估法定标准，实操容易产生执法不公，故仍需执行“品种+体型”客观判定；关于过渡期建议，为确保新规严肃性和公平性，暂不予采纳。</w:t>
            </w:r>
          </w:p>
        </w:tc>
      </w:tr>
      <w:tr w14:paraId="4CD11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A237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AFD5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建议参考深圳、乌鲁木齐经验取消体型限制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EE4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6B9A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  <w:t>我市管理政策需结合本地人口密度和公共安全实际制定。大型犬只的体型力量风险客观存在，且缺乏国家统一的行为评估标准支撑，故不能简单照搬其他城市模式取消体型限制，仍需坚持现行的科学测算标准。</w:t>
            </w:r>
          </w:p>
        </w:tc>
      </w:tr>
      <w:tr w14:paraId="2BA0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670F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CF5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建议对金毛、拉布拉多温顺犬种放宽饲养条件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CAEF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E0AB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  <w:t>无论犬种性格如何，只要成年体型超过“肩高 50 厘米、体长 60 厘米”标准，即视为存在不可控的物理风险。为确保公共安全，必须严格执行体型禁养标准，暂无法对特定温顺犬种放宽条件。</w:t>
            </w:r>
          </w:p>
        </w:tc>
      </w:tr>
      <w:tr w14:paraId="48ECC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0F4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3E5C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建议借鉴北京经验，放宽中型犬标准，实行分区差异化管理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20D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E1B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pacing w:val="-11"/>
                <w:sz w:val="24"/>
                <w:szCs w:val="24"/>
                <w:u w:val="none"/>
              </w:rPr>
              <w:t>北京等超大城市的管理模式是基于其特定的城市资源和管理体系。我市基于当前城区人口密集、公共空间有限的实际，认为体型限制是防范风险的最直接有效手段。在缺乏国家统一行为评估标准前，暂不实行分区差异化管理或放宽体型标准。</w:t>
            </w:r>
          </w:p>
        </w:tc>
      </w:tr>
      <w:tr w14:paraId="1B733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1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001E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4C9D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建议全面禁止烈性犬、大型犬，犬只在电梯密闭空间强制佩戴嘴套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D477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E295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公告已明确禁养烈性犬以及超标准大型犬；关于电梯等密闭空间佩戴嘴套的要求，将在后续的文明养犬行为规范中予以强调和强制推行，以保障居民安全。</w:t>
            </w:r>
          </w:p>
        </w:tc>
      </w:tr>
      <w:tr w14:paraId="69D93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06E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33A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建议阿拉斯加犬移出大型犬禁养名单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FC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BE4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  <w:t>阿拉斯加雪橇犬体型巨大，具备较强的体能优势和潜在不可控性。在复杂的城市环境中，非专业饲养极易引发风险。将其纳入管控范围是对公共安全的负责，故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此建议不予采纳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  <w:t>。</w:t>
            </w:r>
          </w:p>
        </w:tc>
      </w:tr>
      <w:tr w14:paraId="3EB8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DE9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1DD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建议对未免疫、为办理养犬登记证犬只由政府统一处置；犬只无故伤人，犬主赔付医药费同时处置伤人犬；反映小区内“三无犬”伤人事件，请求处置涉事犬只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87C0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21D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犬只伤人处置、无证无免疫犬只处置严格按照现有法律法规执行，发生犬只伤人事件的，由公安、城管等部门按照职责依法处置。本次公告主要划定禁养品种与体型标准，有关伤人案件处置按照现有法定程序办理，相关诉求在后续执法工作中予以重点考量。</w:t>
            </w:r>
          </w:p>
        </w:tc>
      </w:tr>
      <w:tr w14:paraId="17E12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0725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BCA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建议补充公共场所违规犬只处置流程，明确执法主体；设置政策实施过渡期；完善公共场所遛犬约束；压实住宅小区物业公司巡查劝阻上报责任；拓宽公告宣传告知渠道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547A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277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关于违规犬处置、物业责任、政策宣传等意见具有现实参考意义。公告暂不设置政策过渡期；违规犬处置、物业劝导责任、政策宣传等内容，将在后续配套管理工作中统筹落实。</w:t>
            </w:r>
          </w:p>
        </w:tc>
      </w:tr>
      <w:tr w14:paraId="26948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5F7D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B5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建议人员密集场所、电梯、楼道内犬只佩戴嘴套；小型犬同样存在扑咬伤人风险；遛犬不牵绳按照流浪犬处置；犬只伤人由犬主承担全部责任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5196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85A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电梯、楼道等密闭空间佩戴嘴套、强化小型犬外出管控、压实养犬人责任等建议予以参考。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在日常监管执法中严格落实，强化对犬只外出行为的规范约束，切实防范犬只伤人风险。</w:t>
            </w:r>
            <w:bookmarkStart w:id="0" w:name="_GoBack"/>
            <w:bookmarkEnd w:id="0"/>
          </w:p>
        </w:tc>
      </w:tr>
      <w:tr w14:paraId="0DF88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D6E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66D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反对一刀切禁养犬只，认为犬类生命应当尊重，人与犬可以和谐共存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FAA8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506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本次公告核心是禁养烈性犬、超标大型犬，并非全面禁止养犬。坚持保障公共安全前提下倡导文明养犬，兼顾动物福利，相关治理理念在后续宣传工作中予以体现。</w:t>
            </w:r>
          </w:p>
        </w:tc>
      </w:tr>
      <w:tr w14:paraId="4AD4C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9A82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70C8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建议对遛狗不拴绳、公共区域随意大小便行为加大管理和处罚力度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7B3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36BD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不牵绳、粪便不清理属于重点整治的不文明养犬行为，相关处罚要求将在日常监管执法中严格落实。</w:t>
            </w:r>
          </w:p>
        </w:tc>
      </w:tr>
      <w:tr w14:paraId="1C4A5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10E8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69B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金毛不属于烈性犬，不在禁养名录，单纯依靠体型一刀切禁养不合理；犬只风险根源在于养犬人，建议实行精细化治理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ab/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A300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5FE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金毛等犬种虽性格普遍温顺，但达到规定体型后物理风险客观存在，体型管控标准不予放宽。后续将持续强化文明养犬宣传，压实养犬人主体责任。</w:t>
            </w:r>
          </w:p>
        </w:tc>
      </w:tr>
      <w:tr w14:paraId="4E458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FE15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E86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建议对8周岁及以上已经饲养的超标老年犬予以豁免，依靠牵绳、清理粪便等行为约束管理，不强行处置老年犬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8FB2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不予采纳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A55B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老年犬同样存在受惊伤人的客观风险，公告体型管控标准统一适用，不按照犬只年龄设置豁免，存量犬处置严格按照公告规定执行。</w:t>
            </w:r>
          </w:p>
        </w:tc>
      </w:tr>
      <w:tr w14:paraId="3D667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080A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D020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建议增设宠物友好活动空间、宠物便便箱等配套设施；开展试点先行，堵疏结合完善养犬配套服务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6515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部分意见留作后续监管工作参考</w:t>
            </w:r>
          </w:p>
        </w:tc>
        <w:tc>
          <w:tcPr>
            <w:tcW w:w="3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3A1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建设宠物活动空间属于城市配套建设范畴，本次公告不作规定，相关建议移交相关部门，在城市后续建设中统筹研究。</w:t>
            </w:r>
          </w:p>
        </w:tc>
      </w:tr>
    </w:tbl>
    <w:p w14:paraId="10CBC775">
      <w:pPr>
        <w:ind w:left="0" w:leftChars="0" w:firstLine="0" w:firstLineChars="0"/>
      </w:pPr>
    </w:p>
    <w:sectPr>
      <w:pgSz w:w="16838" w:h="11906" w:orient="landscape"/>
      <w:pgMar w:top="1531" w:right="1871" w:bottom="1531" w:left="1984" w:header="851" w:footer="992" w:gutter="0"/>
      <w:cols w:space="0" w:num="1"/>
      <w:rtlGutter w:val="0"/>
      <w:docGrid w:type="lines" w:linePitch="44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20"/>
      </w:pPr>
      <w:r>
        <w:separator/>
      </w:r>
    </w:p>
  </w:endnote>
  <w:endnote w:type="continuationSeparator" w:id="1">
    <w:p>
      <w:pPr>
        <w:spacing w:line="240" w:lineRule="auto"/>
        <w:ind w:firstLine="6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20"/>
      </w:pPr>
      <w:r>
        <w:separator/>
      </w:r>
    </w:p>
  </w:footnote>
  <w:footnote w:type="continuationSeparator" w:id="1">
    <w:p>
      <w:pPr>
        <w:spacing w:line="240" w:lineRule="auto"/>
        <w:ind w:firstLine="6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168CD"/>
    <w:rsid w:val="14411E19"/>
    <w:rsid w:val="18234D8F"/>
    <w:rsid w:val="1D107EF5"/>
    <w:rsid w:val="1FCE2FDD"/>
    <w:rsid w:val="2214340D"/>
    <w:rsid w:val="3206472E"/>
    <w:rsid w:val="35C462A5"/>
    <w:rsid w:val="381E7972"/>
    <w:rsid w:val="3B9478A4"/>
    <w:rsid w:val="3BEC7B1E"/>
    <w:rsid w:val="3F6C179B"/>
    <w:rsid w:val="447F3418"/>
    <w:rsid w:val="466A4950"/>
    <w:rsid w:val="49486249"/>
    <w:rsid w:val="4B0B6FE7"/>
    <w:rsid w:val="4F383685"/>
    <w:rsid w:val="57212282"/>
    <w:rsid w:val="5D38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方正仿宋_GBK" w:cstheme="minorBidi"/>
      <w:kern w:val="2"/>
      <w:sz w:val="31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60" w:lineRule="exact"/>
      <w:jc w:val="center"/>
      <w:outlineLvl w:val="0"/>
    </w:pPr>
    <w:rPr>
      <w:rFonts w:eastAsia="方正小标宋_GBK"/>
      <w:kern w:val="44"/>
      <w:sz w:val="44"/>
    </w:rPr>
  </w:style>
  <w:style w:type="paragraph" w:styleId="3">
    <w:name w:val="heading 2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方正黑体_GBK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方正楷体_GBK"/>
      <w:sz w:val="31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2 Char"/>
    <w:link w:val="3"/>
    <w:qFormat/>
    <w:uiPriority w:val="0"/>
    <w:rPr>
      <w:rFonts w:ascii="Arial" w:hAnsi="Arial" w:eastAsia="方正黑体_GBK"/>
      <w:sz w:val="3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3881</Words>
  <Characters>3914</Characters>
  <Lines>0</Lines>
  <Paragraphs>0</Paragraphs>
  <TotalTime>0</TotalTime>
  <ScaleCrop>false</ScaleCrop>
  <LinksUpToDate>false</LinksUpToDate>
  <CharactersWithSpaces>3919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2026-03-16T03:40:00Z</dcterms:created>
  <dc:creator>Administrator</dc:creator>
  <cp:lastModifiedBy>WPS_1527947774</cp:lastModifiedBy>
  <dcterms:modified xsi:type="dcterms:W3CDTF">2026-09-07T09:20:49Z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21D12E4F33134E29AC59782E6E6DD422_12</vt:lpwstr>
  </property>
  <property fmtid="{D5CDD505-2E9C-101B-9397-08002B2CF9AE}" pid="4" name="KSOTemplateDocerSaveRecord">
    <vt:lpwstr>eyJoZGlkIjoiM2Y3NTVmYzhhYzc2MTNlYjUwNjdmMjMwNTIxNTZiNjEiLCJ1c2VySWQiOiIzNzU2MDI0NTkifQ==</vt:lpwstr>
  </property>
</Properties>
</file>