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830D9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tLeast"/>
        <w:ind w:left="0" w:leftChars="0" w:right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0"/>
          <w:szCs w:val="40"/>
        </w:rPr>
        <w:t>关于《库尔勒市城市户外广告管理实施方案》的</w:t>
      </w:r>
    </w:p>
    <w:p w14:paraId="781245C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360" w:lineRule="atLeast"/>
        <w:ind w:left="0" w:leftChars="0" w:right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0"/>
          <w:szCs w:val="40"/>
        </w:rPr>
        <w:t>起草说明</w:t>
      </w:r>
    </w:p>
    <w:p w14:paraId="7C35965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</w:pPr>
    </w:p>
    <w:p w14:paraId="1EDB8BB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为规范户外广告和招牌的设置管理，优化市容环境，提升城市品质，保障公共安全，按照市政府工作部署，由市城市管理综合执法局牵头，组织起草《库尔勒市城市户外广告管理实施方案》（以下简称《实施方案》）。现将有关起草情况说明如下：</w:t>
      </w:r>
    </w:p>
    <w:p w14:paraId="66AB20D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000000"/>
          <w:sz w:val="32"/>
          <w:szCs w:val="32"/>
        </w:rPr>
        <w:t>一、起草背景与必要性</w:t>
      </w:r>
    </w:p>
    <w:p w14:paraId="2BEC482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户外广告是城市容貌、公共空间治理的重要组成部分，直接关系城市形象、公共安全、意识形态安全以及语言文字规范化建设。当前我市户外广告管理工作存在多方面现实短板：一是城市建成区户外广告布局无序、风貌参差不齐，部分广告设施未经审批擅自设置，与城市整体景观不协调；二是部分立柱广告、楼顶广告、LED 大屏设施年久失修，钢结构锈蚀、构件松动，存在高空坠落、电气火灾等安全风险，公共安全隐患较为突出；三是电子大屏等新媒体广告内容导向管控压力大，公益广告刊播落实不到位，意识形态风险防控机制不够健全；四是双语标识标牌用字翻译不规范、排版混乱，不符合自治区语言文字管理相关要求；五是高速公路、国省干道沿线公路建筑控制区内私设高炮广告、落地广告现象多发，跨部门监管边界不清，存在监管盲区，路域环境整治难度大湖北日报；六是部门协同机制不够顺畅，设置审批、安全监管、内容审查、路域管控、语言文字监督等职责分散，审管衔接不够紧密，尚未形成闭环管理体系。</w:t>
      </w:r>
    </w:p>
    <w:p w14:paraId="3F3D195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为落实城市精细化管理工作要求，补齐制度短板，统筹推进规范设置、隐患排查、内容管控、双语规范、公路沿线广告整治等工作，厘清各部门权责边界，建立统一协调、分工负责的户外广告行政管理运行机制，固化常态长效监管举措，有必要制定本实施方案，为全市户外广告排查整治、日常监管提供实操指引。</w:t>
      </w:r>
    </w:p>
    <w:p w14:paraId="4373B2D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000000"/>
          <w:sz w:val="32"/>
          <w:szCs w:val="32"/>
        </w:rPr>
        <w:t>二、起草主要依据</w:t>
      </w:r>
    </w:p>
    <w:p w14:paraId="031FD49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leftChars="0" w:right="0" w:rightChars="0" w:firstLine="643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Style w:val="8"/>
          <w:rFonts w:hint="default" w:ascii="Times New Roman" w:hAnsi="Times New Roman" w:cs="Times New Roman"/>
          <w:color w:val="000000"/>
          <w:sz w:val="32"/>
          <w:szCs w:val="32"/>
          <w:lang w:val="en-US" w:eastAsia="zh-CN"/>
        </w:rPr>
        <w:t>1.</w:t>
      </w:r>
      <w:r>
        <w:rPr>
          <w:rStyle w:val="8"/>
          <w:rFonts w:hint="default" w:ascii="Times New Roman" w:hAnsi="Times New Roman" w:eastAsia="方正仿宋_GBK" w:cs="Times New Roman"/>
          <w:color w:val="000000"/>
          <w:sz w:val="32"/>
          <w:szCs w:val="32"/>
        </w:rPr>
        <w:t>法律层面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：《中华人民共和国广告法》《中华人民共和国城乡规划法》《中华人民共和国公路法》《城市市容和环境卫生管理条例》《公路安全保护条例》等法律法规.。</w:t>
      </w:r>
    </w:p>
    <w:p w14:paraId="4643F99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right="0" w:rightChars="0" w:firstLine="643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Style w:val="8"/>
          <w:rFonts w:hint="default" w:ascii="Times New Roman" w:hAnsi="Times New Roman" w:cs="Times New Roman"/>
          <w:color w:val="000000"/>
          <w:sz w:val="32"/>
          <w:szCs w:val="32"/>
          <w:lang w:val="en-US" w:eastAsia="zh-CN"/>
        </w:rPr>
        <w:t>2.</w:t>
      </w:r>
      <w:r>
        <w:rPr>
          <w:rStyle w:val="8"/>
          <w:rFonts w:hint="default" w:ascii="Times New Roman" w:hAnsi="Times New Roman" w:eastAsia="方正仿宋_GBK" w:cs="Times New Roman"/>
          <w:color w:val="000000"/>
          <w:sz w:val="32"/>
          <w:szCs w:val="32"/>
        </w:rPr>
        <w:t>规章及规范性文件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：《公益广告促进和管理暂行办法》、自治区关于户外广告招牌设置、国家通用语言文字使用管理相关规定、城市容貌相关标准规范。</w:t>
      </w:r>
    </w:p>
    <w:p w14:paraId="4E50B2A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right="0" w:rightChars="0" w:firstLine="643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Style w:val="8"/>
          <w:rFonts w:hint="default" w:ascii="Times New Roman" w:hAnsi="Times New Roman" w:cs="Times New Roman"/>
          <w:color w:val="000000"/>
          <w:sz w:val="32"/>
          <w:szCs w:val="32"/>
          <w:lang w:val="en-US" w:eastAsia="zh-CN"/>
        </w:rPr>
        <w:t>3.</w:t>
      </w:r>
      <w:r>
        <w:rPr>
          <w:rStyle w:val="8"/>
          <w:rFonts w:hint="default" w:ascii="Times New Roman" w:hAnsi="Times New Roman" w:eastAsia="方正仿宋_GBK" w:cs="Times New Roman"/>
          <w:color w:val="000000"/>
          <w:sz w:val="32"/>
          <w:szCs w:val="32"/>
        </w:rPr>
        <w:t>工作实际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：结合库尔勒市城市管理权责划分，门头牌匾、户外广告审批职能划转实际情况，立足我市城市建成区、高速和国省干道沿线治理现实问题，借鉴各地市户外广告治理成熟经验编制本方案。</w:t>
      </w:r>
    </w:p>
    <w:p w14:paraId="66AF548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000000"/>
          <w:sz w:val="32"/>
          <w:szCs w:val="32"/>
        </w:rPr>
        <w:t>三、起草过程</w:t>
      </w:r>
    </w:p>
    <w:p w14:paraId="4FD6AE3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按照市政府交办任务，市城市管理综合执法局牵头承担起草工作。一是开展现状摸排，梳理城市主次干道、商圈电子大屏、楼顶立柱广告、国省干道及高速沿线广告、沿街双语标识现存突出问题，梳理监管堵点；二是开展部门会商，书面征求市委宣传部、市交通运输局、市自然资源局、市市场监督管理局、市教育局（语言文字工作机构）、市应急管理局、市公安局、各乡镇（街道）等单位初步意见，厘清职能边界；三是结合法律法规、自治区相关规范，对整治目标、部门职责、重点任务、实施步骤、保障措施进行反复修改完善，形成方案征求意见稿。后续将进一步向各相关单位、社会公众公开征求意见，修改完善后按程序报请市政府审议印发。</w:t>
      </w:r>
    </w:p>
    <w:p w14:paraId="314D030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000000"/>
          <w:sz w:val="32"/>
          <w:szCs w:val="32"/>
        </w:rPr>
        <w:t>四、《实施方案》主要内容</w:t>
      </w:r>
    </w:p>
    <w:p w14:paraId="3DFCDD7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《实施方案》总体按照 “问题导向、属地负责、部门协同、标本兼治、长效管控” 原则，分为总体要求、重点整治任务、部门职责分工、实施步骤、保障措施五个部分。</w:t>
      </w:r>
    </w:p>
    <w:p w14:paraId="3C4C279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right="0" w:rightChars="0" w:firstLine="643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Style w:val="8"/>
          <w:rFonts w:hint="default" w:ascii="Times New Roman" w:hAnsi="Times New Roman" w:cs="Times New Roman"/>
          <w:color w:val="000000"/>
          <w:sz w:val="32"/>
          <w:szCs w:val="32"/>
          <w:lang w:val="en-US" w:eastAsia="zh-CN"/>
        </w:rPr>
        <w:t>1.</w:t>
      </w:r>
      <w:r>
        <w:rPr>
          <w:rStyle w:val="8"/>
          <w:rFonts w:hint="default" w:ascii="Times New Roman" w:hAnsi="Times New Roman" w:eastAsia="方正仿宋_GBK" w:cs="Times New Roman"/>
          <w:color w:val="000000"/>
          <w:sz w:val="32"/>
          <w:szCs w:val="32"/>
        </w:rPr>
        <w:t>总体要求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：明确工作目标，聚焦风貌提升、安全隐患清零、电子大屏内容风险防控、双语标识规范、高速国省干道沿线广告治理五大重点，实现违法广告存量清零、增量遏制，健全常态化监管机制。</w:t>
      </w:r>
    </w:p>
    <w:p w14:paraId="3F9617C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right="0" w:rightChars="0" w:firstLine="643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Style w:val="8"/>
          <w:rFonts w:hint="default" w:ascii="Times New Roman" w:hAnsi="Times New Roman" w:cs="Times New Roman"/>
          <w:color w:val="000000"/>
          <w:sz w:val="32"/>
          <w:szCs w:val="32"/>
          <w:lang w:val="en-US" w:eastAsia="zh-CN"/>
        </w:rPr>
        <w:t>2.</w:t>
      </w:r>
      <w:r>
        <w:rPr>
          <w:rStyle w:val="8"/>
          <w:rFonts w:hint="default" w:ascii="Times New Roman" w:hAnsi="Times New Roman" w:eastAsia="方正仿宋_GBK" w:cs="Times New Roman"/>
          <w:color w:val="000000"/>
          <w:sz w:val="32"/>
          <w:szCs w:val="32"/>
        </w:rPr>
        <w:t>重点整治任务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：一是开展城市建成区户外广告风貌专项整治，清理拆除未经许可、与城市风貌冲突的违规广告；二是开展广告设施安全隐患排查整治，压实广告设置人、经营主体安全主体责任，落实钢结构检测、电气安全排查，对锈蚀松动、存在倒塌坠落风险的设施限期整改或拆除；三是强化电子大屏等新媒体广告管控，严格落实公益广告刊播比例，健全内容审核、播出巡查机制，防范意识形态风险；四是规范双语标识标牌，纠正翻译错误、排版不规范问题，落实国家通用语言文字相关规范要求；五是集中整治高速公路、国省干道沿线违规广告，厘清公路建筑控制区管控边界，清理违法高炮、落地广告，净化公路路域环境；六是规范审批管理，严格户外广告设置准入，落实审管联动，建立户外广告设施台账。</w:t>
      </w:r>
    </w:p>
    <w:p w14:paraId="03CC1B3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right="0" w:rightChars="0" w:firstLine="643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Style w:val="8"/>
          <w:rFonts w:hint="default" w:ascii="Times New Roman" w:hAnsi="Times New Roman" w:cs="Times New Roman"/>
          <w:color w:val="000000"/>
          <w:sz w:val="32"/>
          <w:szCs w:val="32"/>
          <w:lang w:val="en-US" w:eastAsia="zh-CN"/>
        </w:rPr>
        <w:t>3.</w:t>
      </w:r>
      <w:r>
        <w:rPr>
          <w:rStyle w:val="8"/>
          <w:rFonts w:hint="default" w:ascii="Times New Roman" w:hAnsi="Times New Roman" w:eastAsia="方正仿宋_GBK" w:cs="Times New Roman"/>
          <w:color w:val="000000"/>
          <w:sz w:val="32"/>
          <w:szCs w:val="32"/>
        </w:rPr>
        <w:t>部门职责分工（核心内容）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：明确市城市管理综合执法局牵头总抓，统筹组织专项行动，负责城市建成区户外广告设置审批、日常巡查、违法设置行为行政执法；市委宣传部负责广告意识形态导向把关，指导公益广告内容；市市场监督管理局负责广告内容合法性监管，查处虚假违法广告；市交通运输局负责高速、国省干道公路建筑控制区内广告设施的监管与执法；市自然资源局负责户外广告与国土空间规划衔接；市教育局（语言文字）负责双语标识语言文字使用监督指导；应急、公安等部门做好安全生产、消防安全协同；各乡镇、街道落实属地排查、宣传劝导，配合开展整治工作，构建分工清晰、协同联动工作格局。</w:t>
      </w:r>
    </w:p>
    <w:p w14:paraId="5248D46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right="0" w:rightChars="0" w:firstLine="643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Style w:val="8"/>
          <w:rFonts w:hint="default" w:ascii="Times New Roman" w:hAnsi="Times New Roman" w:cs="Times New Roman"/>
          <w:color w:val="000000"/>
          <w:sz w:val="32"/>
          <w:szCs w:val="32"/>
          <w:lang w:val="en-US" w:eastAsia="zh-CN"/>
        </w:rPr>
        <w:t>4.</w:t>
      </w:r>
      <w:r>
        <w:rPr>
          <w:rStyle w:val="8"/>
          <w:rFonts w:hint="default" w:ascii="Times New Roman" w:hAnsi="Times New Roman" w:eastAsia="方正仿宋_GBK" w:cs="Times New Roman"/>
          <w:color w:val="000000"/>
          <w:sz w:val="32"/>
          <w:szCs w:val="32"/>
        </w:rPr>
        <w:t>实施步骤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：分调查摸底、集中整治、巩固提升、长效管理四个阶段，明确各阶段工作任务、时间节点，有序推进问题整改。</w:t>
      </w:r>
    </w:p>
    <w:p w14:paraId="5A7FE93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right="0" w:rightChars="0" w:firstLine="643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Style w:val="8"/>
          <w:rFonts w:hint="default" w:ascii="Times New Roman" w:hAnsi="Times New Roman" w:cs="Times New Roman"/>
          <w:color w:val="000000"/>
          <w:sz w:val="32"/>
          <w:szCs w:val="32"/>
          <w:lang w:val="en-US" w:eastAsia="zh-CN"/>
        </w:rPr>
        <w:t>5.</w:t>
      </w:r>
      <w:r>
        <w:rPr>
          <w:rStyle w:val="8"/>
          <w:rFonts w:hint="default" w:ascii="Times New Roman" w:hAnsi="Times New Roman" w:eastAsia="方正仿宋_GBK" w:cs="Times New Roman"/>
          <w:color w:val="000000"/>
          <w:sz w:val="32"/>
          <w:szCs w:val="32"/>
        </w:rPr>
        <w:t>保障措施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：从组织领导、协同联动、督导考核、宣传引导、台账管理五个方面提出工作要求，压实各方责任，防止问题反弹回潮。</w:t>
      </w:r>
    </w:p>
    <w:p w14:paraId="7C730E4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000000"/>
          <w:sz w:val="32"/>
          <w:szCs w:val="32"/>
        </w:rPr>
        <w:t>五、需要说明的几个重点问题</w:t>
      </w:r>
    </w:p>
    <w:p w14:paraId="0AC95F1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right="0" w:rightChars="0" w:firstLine="643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Style w:val="8"/>
          <w:rFonts w:hint="default" w:ascii="Times New Roman" w:hAnsi="Times New Roman" w:cs="Times New Roman"/>
          <w:color w:val="000000"/>
          <w:sz w:val="32"/>
          <w:szCs w:val="32"/>
          <w:lang w:val="en-US" w:eastAsia="zh-CN"/>
        </w:rPr>
        <w:t>1.</w:t>
      </w:r>
      <w:r>
        <w:rPr>
          <w:rStyle w:val="8"/>
          <w:rFonts w:hint="default" w:ascii="Times New Roman" w:hAnsi="Times New Roman" w:eastAsia="方正仿宋_GBK" w:cs="Times New Roman"/>
          <w:color w:val="000000"/>
          <w:sz w:val="32"/>
          <w:szCs w:val="32"/>
        </w:rPr>
        <w:t>关于管理范围界定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：方案管理范围覆盖库尔勒市城市建成区，以及市域内高速公路、国省干道沿线区域，区分城市建成区、公路建筑控制区两类场景，落实不同监管主体，破解跨区域监管边界模糊问题。</w:t>
      </w:r>
    </w:p>
    <w:p w14:paraId="55E32E0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right="0" w:rightChars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cs="Times New Roman"/>
          <w:color w:val="000000"/>
          <w:sz w:val="32"/>
          <w:szCs w:val="32"/>
          <w:lang w:val="en-US" w:eastAsia="zh-CN"/>
        </w:rPr>
        <w:t>2.</w:t>
      </w:r>
      <w:r>
        <w:rPr>
          <w:rStyle w:val="8"/>
          <w:rFonts w:hint="default" w:ascii="Times New Roman" w:hAnsi="Times New Roman" w:eastAsia="方正仿宋_GBK" w:cs="Times New Roman"/>
          <w:color w:val="000000"/>
          <w:sz w:val="32"/>
          <w:szCs w:val="32"/>
        </w:rPr>
        <w:t>关于部门权责边界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：严格依据法律法规及我市现行权责划分，区分</w:t>
      </w:r>
      <w:r>
        <w:rPr>
          <w:rStyle w:val="8"/>
          <w:rFonts w:hint="default" w:ascii="Times New Roman" w:hAnsi="Times New Roman" w:eastAsia="方正仿宋_GBK" w:cs="Times New Roman"/>
          <w:color w:val="000000"/>
          <w:sz w:val="32"/>
          <w:szCs w:val="32"/>
        </w:rPr>
        <w:t>设置行为监管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与</w:t>
      </w:r>
      <w:r>
        <w:rPr>
          <w:rStyle w:val="8"/>
          <w:rFonts w:hint="default" w:ascii="Times New Roman" w:hAnsi="Times New Roman" w:eastAsia="方正仿宋_GBK" w:cs="Times New Roman"/>
          <w:color w:val="000000"/>
          <w:sz w:val="32"/>
          <w:szCs w:val="32"/>
        </w:rPr>
        <w:t>广告内容监管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，区分</w:t>
      </w:r>
      <w:r>
        <w:rPr>
          <w:rStyle w:val="8"/>
          <w:rFonts w:hint="default" w:ascii="Times New Roman" w:hAnsi="Times New Roman" w:eastAsia="方正仿宋_GBK" w:cs="Times New Roman"/>
          <w:color w:val="000000"/>
          <w:sz w:val="32"/>
          <w:szCs w:val="32"/>
        </w:rPr>
        <w:t>城市建成区广告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与</w:t>
      </w:r>
      <w:r>
        <w:rPr>
          <w:rStyle w:val="8"/>
          <w:rFonts w:hint="default" w:ascii="Times New Roman" w:hAnsi="Times New Roman" w:eastAsia="方正仿宋_GBK" w:cs="Times New Roman"/>
          <w:color w:val="000000"/>
          <w:sz w:val="32"/>
          <w:szCs w:val="32"/>
        </w:rPr>
        <w:t>公路控制区内广告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，厘清城管、交通、市监、语言文字等部门职责，避免出现监管重叠或者监管真空。</w:t>
      </w:r>
    </w:p>
    <w:p w14:paraId="4A5A12E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right="0" w:rightChars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cs="Times New Roman"/>
          <w:color w:val="000000"/>
          <w:sz w:val="32"/>
          <w:szCs w:val="32"/>
          <w:lang w:val="en-US" w:eastAsia="zh-CN"/>
        </w:rPr>
        <w:t>3.</w:t>
      </w:r>
      <w:r>
        <w:rPr>
          <w:rStyle w:val="8"/>
          <w:rFonts w:hint="default" w:ascii="Times New Roman" w:hAnsi="Times New Roman" w:eastAsia="方正仿宋_GBK" w:cs="Times New Roman"/>
          <w:color w:val="000000"/>
          <w:sz w:val="32"/>
          <w:szCs w:val="32"/>
        </w:rPr>
        <w:t>关于安全与意识形态双重风险防控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：既明确设施结构、电气安全隐患排查整改要求，压实经营主体主体责任；同时强化电子大屏内容、公益广告刊播管理，落实意识形态工作要求，兼顾物理安全和内容安全。</w:t>
      </w:r>
    </w:p>
    <w:p w14:paraId="4A08EB6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right="0" w:rightChars="0" w:firstLine="643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Style w:val="8"/>
          <w:rFonts w:hint="default" w:ascii="Times New Roman" w:hAnsi="Times New Roman" w:cs="Times New Roman"/>
          <w:color w:val="000000"/>
          <w:sz w:val="32"/>
          <w:szCs w:val="32"/>
          <w:lang w:val="en-US" w:eastAsia="zh-CN"/>
        </w:rPr>
        <w:t>4.</w:t>
      </w:r>
      <w:r>
        <w:rPr>
          <w:rStyle w:val="8"/>
          <w:rFonts w:hint="default" w:ascii="Times New Roman" w:hAnsi="Times New Roman" w:eastAsia="方正仿宋_GBK" w:cs="Times New Roman"/>
          <w:color w:val="000000"/>
          <w:sz w:val="32"/>
          <w:szCs w:val="32"/>
        </w:rPr>
        <w:t>关于双语标识规范化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：立足本地实际，将双语标识标牌纠错规范作为专项任务，明确语言文字主管部门业务指导职责，把双语文字合规纳入日常检查内容，落实铸牢中华民族共同体意识相关工作要求新疆维吾尔...。</w:t>
      </w:r>
    </w:p>
    <w:p w14:paraId="12BB020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right="0" w:rightChars="0" w:firstLine="643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Style w:val="8"/>
          <w:rFonts w:hint="default" w:ascii="Times New Roman" w:hAnsi="Times New Roman" w:cs="Times New Roman"/>
          <w:color w:val="000000"/>
          <w:sz w:val="32"/>
          <w:szCs w:val="32"/>
          <w:lang w:val="en-US" w:eastAsia="zh-CN"/>
        </w:rPr>
        <w:t>5.</w:t>
      </w:r>
      <w:r>
        <w:rPr>
          <w:rStyle w:val="8"/>
          <w:rFonts w:hint="default" w:ascii="Times New Roman" w:hAnsi="Times New Roman" w:eastAsia="方正仿宋_GBK" w:cs="Times New Roman"/>
          <w:color w:val="000000"/>
          <w:sz w:val="32"/>
          <w:szCs w:val="32"/>
        </w:rPr>
        <w:t>坚持整治与规范并重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：方案不搞 “一刀切”，对合规、风貌协调的广告予以保留；对违法违规、存在重大安全隐患的依法处置；同步完善审批、巡查、检测、公益广告刊播制度，实现 “整治一批、规范一批、建立长效”。</w:t>
      </w:r>
    </w:p>
    <w:p w14:paraId="4F7AC53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000000"/>
          <w:sz w:val="32"/>
          <w:szCs w:val="32"/>
        </w:rPr>
        <w:t>六、征求意见及下一步工作安排</w:t>
      </w:r>
    </w:p>
    <w:p w14:paraId="58FB081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5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本稿为征求意见稿，下一步将正式发至各相关单位书面征求意见，同步面向社会公开征求公众意见，汇总梳理各方建议，对方案进一步修改完善，经合法性审查后，报请市人民政府审议，审议通过后印发实施。</w:t>
      </w:r>
      <w:bookmarkStart w:id="0" w:name="_GoBack"/>
      <w:bookmarkEnd w:id="0"/>
    </w:p>
    <w:sectPr>
      <w:pgSz w:w="11906" w:h="16838"/>
      <w:pgMar w:top="1871" w:right="1531" w:bottom="1984" w:left="1531" w:header="851" w:footer="992" w:gutter="0"/>
      <w:cols w:space="0" w:num="1"/>
      <w:rtlGutter w:val="0"/>
      <w:docGrid w:type="lines" w:linePitch="564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20"/>
      </w:pPr>
      <w:r>
        <w:separator/>
      </w:r>
    </w:p>
  </w:endnote>
  <w:endnote w:type="continuationSeparator" w:id="1">
    <w:p>
      <w:pPr>
        <w:spacing w:line="240" w:lineRule="auto"/>
        <w:ind w:firstLine="6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20"/>
      </w:pPr>
      <w:r>
        <w:separator/>
      </w:r>
    </w:p>
  </w:footnote>
  <w:footnote w:type="continuationSeparator" w:id="1">
    <w:p>
      <w:pPr>
        <w:spacing w:line="240" w:lineRule="auto"/>
        <w:ind w:firstLine="6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337854"/>
    <w:rsid w:val="01CB1693"/>
    <w:rsid w:val="01DF3D59"/>
    <w:rsid w:val="04BE6F64"/>
    <w:rsid w:val="0EB4052B"/>
    <w:rsid w:val="10470DA6"/>
    <w:rsid w:val="1554606A"/>
    <w:rsid w:val="1BF91AF2"/>
    <w:rsid w:val="20AB4024"/>
    <w:rsid w:val="3C8E4CCA"/>
    <w:rsid w:val="424860FF"/>
    <w:rsid w:val="4E337854"/>
    <w:rsid w:val="50ED2842"/>
    <w:rsid w:val="51AD6A71"/>
    <w:rsid w:val="61A1661D"/>
    <w:rsid w:val="6EEB55E6"/>
    <w:rsid w:val="6F942AB7"/>
    <w:rsid w:val="73A97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640" w:firstLineChars="200"/>
      <w:jc w:val="both"/>
    </w:pPr>
    <w:rPr>
      <w:rFonts w:ascii="Times New Roman" w:hAnsi="Times New Roman" w:eastAsia="方正仿宋_GBK" w:cstheme="minorBidi"/>
      <w:color w:val="auto"/>
      <w:kern w:val="2"/>
      <w:sz w:val="31"/>
      <w:szCs w:val="31"/>
      <w:lang w:val="en-US" w:eastAsia="zh-CN" w:bidi="ar-SA"/>
    </w:rPr>
  </w:style>
  <w:style w:type="paragraph" w:styleId="2">
    <w:name w:val="heading 1"/>
    <w:basedOn w:val="1"/>
    <w:next w:val="3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link w:val="10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2"/>
    </w:pPr>
    <w:rPr>
      <w:rFonts w:eastAsia="方正楷体_GBK"/>
      <w:sz w:val="31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te Heading"/>
    <w:basedOn w:val="1"/>
    <w:next w:val="1"/>
    <w:uiPriority w:val="0"/>
    <w:pPr>
      <w:jc w:val="center"/>
    </w:pPr>
  </w:style>
  <w:style w:type="character" w:styleId="8">
    <w:name w:val="Strong"/>
    <w:basedOn w:val="7"/>
    <w:qFormat/>
    <w:uiPriority w:val="0"/>
    <w:rPr>
      <w:b/>
    </w:rPr>
  </w:style>
  <w:style w:type="paragraph" w:customStyle="1" w:styleId="9">
    <w:name w:val="样式1"/>
    <w:basedOn w:val="1"/>
    <w:qFormat/>
    <w:uiPriority w:val="0"/>
    <w:pPr>
      <w:spacing w:line="560" w:lineRule="exact"/>
      <w:ind w:firstLine="800" w:firstLineChars="200"/>
    </w:pPr>
    <w:rPr>
      <w:rFonts w:hint="eastAsia" w:eastAsia="方正仿宋_GBK"/>
      <w:sz w:val="31"/>
    </w:rPr>
  </w:style>
  <w:style w:type="character" w:customStyle="1" w:styleId="10">
    <w:name w:val="标题 3 Char"/>
    <w:link w:val="5"/>
    <w:qFormat/>
    <w:uiPriority w:val="0"/>
    <w:rPr>
      <w:rFonts w:eastAsia="方正楷体_GBK"/>
      <w:sz w:val="3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2717</Words>
  <Characters>2738</Characters>
  <Lines>0</Lines>
  <Paragraphs>0</Paragraphs>
  <TotalTime>69</TotalTime>
  <ScaleCrop>false</ScaleCrop>
  <LinksUpToDate>false</LinksUpToDate>
  <CharactersWithSpaces>2744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2026-08-11T03:19:00Z</dcterms:created>
  <dc:creator>路漫漫</dc:creator>
  <cp:lastModifiedBy>路漫漫</cp:lastModifiedBy>
  <dcterms:modified xsi:type="dcterms:W3CDTF">2026-08-11T12:07:14Z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01831DBF4FFF451CB0533A652F901903_13</vt:lpwstr>
  </property>
  <property fmtid="{D5CDD505-2E9C-101B-9397-08002B2CF9AE}" pid="4" name="KSOTemplateDocerSaveRecord">
    <vt:lpwstr>eyJoZGlkIjoiOWQ0NjhkYTAxMDhlOTNhMDk1ZjRmNThjNzUyN2VhYjkiLCJ1c2VySWQiOiI0NjI0NjcwNzQifQ==</vt:lpwstr>
  </property>
</Properties>
</file>