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方正小标宋简体" w:hAnsi="方正小标宋简体" w:eastAsia="方正小标宋简体" w:cs="方正小标宋简体"/>
          <w:sz w:val="32"/>
        </w:rPr>
      </w:pPr>
      <w:bookmarkStart w:id="0" w:name="bookmark2"/>
    </w:p>
    <w:p>
      <w:pPr>
        <w:spacing w:line="240" w:lineRule="exact"/>
        <w:rPr>
          <w:sz w:val="32"/>
        </w:rPr>
      </w:pPr>
    </w:p>
    <w:p>
      <w:pPr>
        <w:spacing w:line="240" w:lineRule="exact"/>
        <w:rPr>
          <w:sz w:val="32"/>
        </w:rPr>
      </w:pPr>
    </w:p>
    <w:p>
      <w:pPr>
        <w:spacing w:line="240" w:lineRule="exact"/>
        <w:rPr>
          <w:sz w:val="32"/>
        </w:rPr>
      </w:pPr>
    </w:p>
    <w:p>
      <w:pPr>
        <w:spacing w:line="240" w:lineRule="exact"/>
        <w:rPr>
          <w:sz w:val="32"/>
        </w:rPr>
      </w:pPr>
    </w:p>
    <w:p>
      <w:pPr>
        <w:jc w:val="center"/>
        <w:rPr>
          <w:rFonts w:ascii="宋体" w:hAnsi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关于对《新疆上和鑫源资产经营管理有限公司库尔勒市库尔楚北5号建筑用砂矿矿产资源开发利用与生态保护修复方案》专家意见的认定</w:t>
      </w:r>
    </w:p>
    <w:p>
      <w:pPr>
        <w:pStyle w:val="13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上库国土</w:t>
      </w:r>
      <w:r>
        <w:rPr>
          <w:rFonts w:hint="eastAsia" w:ascii="仿宋_GB2312" w:eastAsia="仿宋_GB2312"/>
          <w:sz w:val="32"/>
          <w:lang w:eastAsia="zh-CN"/>
        </w:rPr>
        <w:t>资</w:t>
      </w:r>
      <w:r>
        <w:rPr>
          <w:rFonts w:hint="eastAsia" w:ascii="仿宋_GB2312" w:eastAsia="仿宋_GB2312"/>
          <w:sz w:val="32"/>
          <w:lang w:val="en-US" w:eastAsia="zh-CN"/>
        </w:rPr>
        <w:t>开垦审发</w:t>
      </w:r>
      <w:r>
        <w:rPr>
          <w:rFonts w:hint="eastAsia" w:ascii="仿宋_GB2312" w:eastAsia="仿宋_GB2312"/>
          <w:sz w:val="32"/>
          <w:lang w:eastAsia="zh-CN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  <w:lang w:eastAsia="zh-CN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02</w:t>
      </w:r>
      <w:r>
        <w:rPr>
          <w:rFonts w:hint="eastAsia" w:ascii="仿宋_GB2312" w:eastAsia="仿宋_GB2312"/>
          <w:sz w:val="32"/>
          <w:lang w:eastAsia="zh-CN"/>
        </w:rPr>
        <w:t>号</w:t>
      </w:r>
    </w:p>
    <w:p>
      <w:pPr>
        <w:pStyle w:val="13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240" w:lineRule="exact"/>
        <w:ind w:firstLine="4572" w:firstLineChars="1429"/>
        <w:rPr>
          <w:rFonts w:ascii="仿宋_GB2312" w:eastAsia="仿宋_GB2312"/>
          <w:sz w:val="32"/>
          <w:lang w:eastAsia="zh-CN"/>
        </w:rPr>
      </w:pPr>
    </w:p>
    <w:p>
      <w:pPr>
        <w:spacing w:line="240" w:lineRule="exact"/>
        <w:ind w:firstLine="4572" w:firstLineChars="142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巴州国土资源局库尔勒上库综合产业园区分局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</w:p>
    <w:p>
      <w:pPr>
        <w:jc w:val="center"/>
        <w:rPr>
          <w:rFonts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  <w:lang w:eastAsia="zh-CN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  <w:lang w:eastAsia="zh-CN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lang w:eastAsia="zh-CN"/>
        </w:rPr>
        <w:t>日</w:t>
      </w:r>
    </w:p>
    <w:p>
      <w:pPr>
        <w:spacing w:line="240" w:lineRule="exact"/>
        <w:jc w:val="center"/>
        <w:rPr>
          <w:rFonts w:ascii="仿宋_GB2312" w:eastAsia="仿宋_GB2312"/>
          <w:sz w:val="32"/>
          <w:lang w:eastAsia="zh-CN"/>
        </w:rPr>
      </w:pPr>
    </w:p>
    <w:p>
      <w:pPr>
        <w:widowControl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rPr>
          <w:rFonts w:ascii="华文中宋" w:hAnsi="华文中宋" w:eastAsia="华文中宋"/>
          <w:sz w:val="32"/>
          <w:szCs w:val="32"/>
          <w:lang w:eastAsia="zh-CN"/>
        </w:rPr>
      </w:pPr>
    </w:p>
    <w:p>
      <w:pPr>
        <w:pStyle w:val="6"/>
        <w:rPr>
          <w:rFonts w:ascii="仿宋_GB2312" w:eastAsia="仿宋_GB2312"/>
        </w:rPr>
      </w:pPr>
    </w:p>
    <w:p>
      <w:pPr>
        <w:pStyle w:val="6"/>
        <w:rPr>
          <w:rFonts w:ascii="仿宋_GB2312" w:eastAsia="仿宋_GB2312"/>
        </w:rPr>
      </w:pP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编写单</w:t>
      </w:r>
      <w:r>
        <w:rPr>
          <w:rFonts w:hint="eastAsia" w:ascii="仿宋_GB2312" w:eastAsia="仿宋_GB2312"/>
          <w:sz w:val="30"/>
          <w:szCs w:val="30"/>
          <w:lang w:eastAsia="zh-CN"/>
        </w:rPr>
        <w:t>位：新疆地矿局第三地质大队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单位负责</w:t>
      </w:r>
      <w:r>
        <w:rPr>
          <w:rFonts w:hint="eastAsia" w:ascii="仿宋_GB2312" w:eastAsia="仿宋_GB2312"/>
          <w:spacing w:val="2"/>
          <w:sz w:val="30"/>
          <w:szCs w:val="30"/>
          <w:lang w:eastAsia="zh-CN"/>
        </w:rPr>
        <w:t>人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：石福品 </w:t>
      </w:r>
    </w:p>
    <w:p>
      <w:pPr>
        <w:spacing w:line="600" w:lineRule="exact"/>
        <w:ind w:left="1644" w:leftChars="685"/>
        <w:rPr>
          <w:rFonts w:ascii="仿宋_GB2312" w:eastAsia="仿宋_GB2312"/>
          <w:spacing w:val="37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技术负责人：陈建中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编   写  人：</w:t>
      </w: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杨文臣、</w:t>
      </w:r>
      <w:r>
        <w:rPr>
          <w:rFonts w:hint="eastAsia" w:ascii="仿宋_GB2312" w:eastAsia="仿宋_GB2312"/>
          <w:spacing w:val="37"/>
          <w:sz w:val="30"/>
          <w:szCs w:val="30"/>
          <w:lang w:val="en-US" w:eastAsia="zh-CN"/>
        </w:rPr>
        <w:t>杜金花</w:t>
      </w: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pacing w:val="37"/>
          <w:sz w:val="30"/>
          <w:szCs w:val="30"/>
          <w:lang w:val="en-US" w:eastAsia="zh-CN"/>
        </w:rPr>
        <w:t>吴春伟</w:t>
      </w: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 xml:space="preserve"> 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提交单</w:t>
      </w:r>
      <w:r>
        <w:rPr>
          <w:rFonts w:hint="eastAsia" w:ascii="仿宋_GB2312" w:eastAsia="仿宋_GB2312"/>
          <w:sz w:val="30"/>
          <w:szCs w:val="30"/>
          <w:lang w:eastAsia="zh-CN"/>
        </w:rPr>
        <w:t>位：新疆上和鑫源资产经营管理有限公司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提交时</w:t>
      </w:r>
      <w:r>
        <w:rPr>
          <w:rFonts w:hint="eastAsia" w:ascii="仿宋_GB2312" w:eastAsia="仿宋_GB2312"/>
          <w:sz w:val="30"/>
          <w:szCs w:val="30"/>
          <w:lang w:eastAsia="zh-CN"/>
        </w:rPr>
        <w:t>间：2022年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  <w:lang w:eastAsia="zh-CN"/>
        </w:rPr>
        <w:t>月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主审专</w:t>
      </w:r>
      <w:r>
        <w:rPr>
          <w:rFonts w:hint="eastAsia" w:ascii="仿宋_GB2312" w:eastAsia="仿宋_GB2312"/>
          <w:sz w:val="30"/>
          <w:szCs w:val="30"/>
          <w:lang w:eastAsia="zh-CN"/>
        </w:rPr>
        <w:t>家：郝晨亮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评审专</w:t>
      </w:r>
      <w:r>
        <w:rPr>
          <w:rFonts w:hint="eastAsia" w:ascii="仿宋_GB2312" w:eastAsia="仿宋_GB2312"/>
          <w:sz w:val="30"/>
          <w:szCs w:val="30"/>
          <w:lang w:eastAsia="zh-CN"/>
        </w:rPr>
        <w:t>家：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王多生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张飞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评审会议日期：2022年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  <w:lang w:eastAsia="zh-CN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  <w:lang w:eastAsia="zh-CN"/>
        </w:rPr>
        <w:t>日</w:t>
      </w:r>
    </w:p>
    <w:p>
      <w:pPr>
        <w:ind w:left="1644" w:leftChars="685"/>
        <w:rPr>
          <w:rFonts w:ascii="仿宋_GB2312" w:eastAsia="仿宋_GB2312"/>
          <w:sz w:val="30"/>
          <w:szCs w:val="30"/>
          <w:lang w:eastAsia="zh-CN"/>
        </w:rPr>
      </w:pPr>
    </w:p>
    <w:p>
      <w:pPr>
        <w:rPr>
          <w:rFonts w:ascii="仿宋_GB2312" w:eastAsia="仿宋_GB2312"/>
          <w:sz w:val="32"/>
          <w:lang w:eastAsia="zh-CN"/>
        </w:rPr>
      </w:pPr>
    </w:p>
    <w:p>
      <w:pPr>
        <w:ind w:firstLine="640" w:firstLineChars="200"/>
        <w:rPr>
          <w:rFonts w:ascii="仿宋_GB2312" w:eastAsia="仿宋_GB2312"/>
          <w:sz w:val="32"/>
          <w:lang w:eastAsia="zh-CN"/>
        </w:rPr>
      </w:pPr>
    </w:p>
    <w:p>
      <w:pPr>
        <w:widowControl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outlineLvl w:val="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新疆上和鑫源资产经营管理有限公司库尔勒市库尔楚北5号建筑用砂矿矿产资源开发利用与生态保护修复方案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>》</w:t>
      </w:r>
      <w:bookmarkEnd w:id="0"/>
      <w:bookmarkStart w:id="1" w:name="bookmark1"/>
      <w:bookmarkStart w:id="2" w:name="bookmark3"/>
      <w:bookmarkStart w:id="3" w:name="bookmark0"/>
      <w:r>
        <w:rPr>
          <w:rFonts w:ascii="宋体" w:hAnsi="宋体" w:eastAsia="宋体"/>
          <w:b/>
          <w:bCs/>
          <w:sz w:val="32"/>
          <w:szCs w:val="32"/>
          <w:lang w:eastAsia="zh-CN"/>
        </w:rPr>
        <w:t>审查意见</w:t>
      </w:r>
      <w:bookmarkEnd w:id="1"/>
      <w:bookmarkEnd w:id="2"/>
      <w:bookmarkEnd w:id="3"/>
    </w:p>
    <w:p>
      <w:pPr>
        <w:pStyle w:val="17"/>
        <w:spacing w:line="360" w:lineRule="auto"/>
        <w:ind w:firstLine="361" w:firstLineChars="200"/>
        <w:jc w:val="both"/>
        <w:rPr>
          <w:sz w:val="18"/>
          <w:szCs w:val="18"/>
          <w:lang w:eastAsia="zh-CN"/>
        </w:rPr>
      </w:pPr>
      <w:bookmarkStart w:id="4" w:name="bookmark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bookmarkEnd w:id="4"/>
      <w:r>
        <w:rPr>
          <w:rFonts w:hint="eastAsia"/>
          <w:sz w:val="28"/>
          <w:szCs w:val="28"/>
          <w:lang w:eastAsia="zh-CN"/>
        </w:rPr>
        <w:t>、项目概况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cs="宋体"/>
          <w:sz w:val="28"/>
          <w:szCs w:val="28"/>
          <w:lang w:eastAsia="zh-CN"/>
        </w:rPr>
        <w:t>新疆上和鑫源资产经营管理有限公司库尔勒市库尔楚北5号建筑用砂矿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矿产资源开发利用与生态保护修复方案》由</w:t>
      </w:r>
      <w:r>
        <w:rPr>
          <w:rFonts w:hint="eastAsia" w:cs="宋体"/>
          <w:sz w:val="28"/>
          <w:szCs w:val="28"/>
          <w:lang w:eastAsia="zh-CN"/>
        </w:rPr>
        <w:t>新疆上和鑫源资产经营管理有限公司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委托新疆地矿局第三地质大队编制完成。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  <w:t>“新疆库尔勒市库尔楚北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5号建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  <w:t>筑用砂矿”位于库尔勒市北西290°方向，距库尔勒市区直线距离6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2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  <w:t>千米，属库尔勒市管辖。矿区中心地理坐标：东经85°26′14″，北纬41°57′</w:t>
      </w:r>
      <w:r>
        <w:rPr>
          <w:rFonts w:hint="default" w:ascii="宋体" w:hAnsi="宋体" w:eastAsia="宋体" w:cs="宋体"/>
          <w:color w:val="000000"/>
          <w:sz w:val="28"/>
          <w:szCs w:val="28"/>
          <w:lang w:val="zh-CN" w:eastAsia="zh-CN" w:bidi="en-US"/>
        </w:rPr>
        <w:t>11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  <w:t>″。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矿区距库尔勒市区直线距离6</w:t>
      </w:r>
      <w:r>
        <w:rPr>
          <w:rFonts w:hint="eastAsia" w:cs="宋体"/>
          <w:color w:val="000000"/>
          <w:sz w:val="28"/>
          <w:szCs w:val="28"/>
          <w:lang w:val="en-US" w:eastAsia="zh-CN" w:bidi="en-US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千米，库尔勒一喀什的公路由矿区南侧通过，交通条件较方便，矿区到库尔勒市区道路里程65千米。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该矿山开采矿种为建设用砂石料矿，采用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露天-凹陷式开采方式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，规划生产规模</w:t>
      </w:r>
      <w:r>
        <w:rPr>
          <w:rFonts w:hint="eastAsia" w:cs="宋体"/>
          <w:sz w:val="28"/>
          <w:szCs w:val="28"/>
          <w:lang w:val="en-US" w:eastAsia="zh-CN"/>
        </w:rPr>
        <w:t>45万立方米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/年，开采标高为</w:t>
      </w:r>
      <w:r>
        <w:rPr>
          <w:rFonts w:hint="eastAsia" w:cs="宋体"/>
          <w:sz w:val="28"/>
          <w:szCs w:val="28"/>
          <w:lang w:val="en-US" w:eastAsia="zh-CN"/>
        </w:rPr>
        <w:t>1116-1062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米，矿山设计服务年限</w:t>
      </w:r>
      <w:r>
        <w:rPr>
          <w:rFonts w:hint="eastAsia" w:cs="宋体"/>
          <w:sz w:val="28"/>
          <w:szCs w:val="28"/>
          <w:lang w:val="en-US" w:eastAsia="zh-CN"/>
        </w:rPr>
        <w:t>5.6年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，砂石料总量（TD）</w:t>
      </w:r>
      <w:r>
        <w:rPr>
          <w:rFonts w:hint="eastAsia" w:cs="宋体"/>
          <w:sz w:val="28"/>
          <w:szCs w:val="28"/>
          <w:lang w:eastAsia="zh-CN"/>
        </w:rPr>
        <w:t>265.96万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立方米。</w:t>
      </w:r>
    </w:p>
    <w:p>
      <w:pPr>
        <w:adjustRightInd w:val="0"/>
        <w:snapToGrid w:val="0"/>
        <w:spacing w:before="120" w:beforeLines="50"/>
        <w:jc w:val="center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宋体" w:hAnsi="宋体" w:eastAsia="宋体" w:cs="宋体"/>
          <w:b/>
          <w:szCs w:val="28"/>
        </w:rPr>
        <w:t>矿区拐点坐标一览表</w:t>
      </w: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784"/>
        <w:gridCol w:w="1922"/>
        <w:gridCol w:w="2261"/>
        <w:gridCol w:w="2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拐点编号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北纬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4647813.659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29370364.574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85°26＇11.1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41°57＇17.75＂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J2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4647626.039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29370752.790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85°26＇28.1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41°57＇11.90＂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J3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4647134.881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29370578.875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85°26＇21.01＂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41°56＇55.8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J4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4647405.000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29370124.802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85°26＇01.09＂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41°57＇04.37＂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依据</w:t>
      </w:r>
      <w:r>
        <w:rPr>
          <w:rFonts w:hint="eastAsia" w:cs="宋体"/>
          <w:sz w:val="28"/>
          <w:szCs w:val="28"/>
          <w:highlight w:val="none"/>
          <w:lang w:eastAsia="zh-CN"/>
        </w:rPr>
        <w:t>库尔勒市自然资源局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出具的《矿区土地利用现状证明》以及《土地利用现状分类》（GB/T21010－2017），矿区布局所占用土地类型为裸地，土地权属为国有。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本次调查工作完成调查区面积56.27公顷，其中重点调查区49.79公顷，一般调查区面积6.48公顷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本次调查路线1条，长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3940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米，完成调查点2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个,拍摄照片10张，公众参与调查表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二、提交审查的成果资料：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（一）</w:t>
      </w:r>
      <w:bookmarkStart w:id="5" w:name="_Hlk82255059"/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《方案》</w:t>
      </w:r>
      <w:bookmarkEnd w:id="5"/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（二）附图：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1. 露天开采最终境界及矿区总平面图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（</w:t>
      </w:r>
      <w:r>
        <w:rPr>
          <w:rFonts w:hint="eastAsia" w:cs="宋体"/>
          <w:b w:val="0"/>
          <w:bCs w:val="0"/>
          <w:kern w:val="2"/>
          <w:sz w:val="28"/>
          <w:szCs w:val="28"/>
          <w:lang w:eastAsia="zh-CN" w:bidi="ar-SA"/>
        </w:rPr>
        <w:t>1:1000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2. 露天开采最终境界勘查线剖面图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b w:val="0"/>
          <w:bCs w:val="0"/>
          <w:kern w:val="2"/>
          <w:sz w:val="28"/>
          <w:szCs w:val="28"/>
          <w:lang w:eastAsia="zh-CN" w:bidi="ar-SA"/>
        </w:rPr>
        <w:t>3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.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b w:val="0"/>
          <w:bCs w:val="0"/>
          <w:kern w:val="2"/>
          <w:sz w:val="28"/>
          <w:szCs w:val="28"/>
          <w:lang w:eastAsia="zh-CN" w:bidi="ar-SA"/>
        </w:rPr>
        <w:t>采矿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工艺</w:t>
      </w:r>
      <w:r>
        <w:rPr>
          <w:b w:val="0"/>
          <w:bCs w:val="0"/>
          <w:kern w:val="2"/>
          <w:sz w:val="28"/>
          <w:szCs w:val="28"/>
          <w:lang w:eastAsia="zh-CN" w:bidi="ar-SA"/>
        </w:rPr>
        <w:t>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.</w:t>
      </w:r>
      <w:r>
        <w:rPr>
          <w:b w:val="0"/>
          <w:bCs w:val="0"/>
          <w:kern w:val="2"/>
          <w:sz w:val="28"/>
          <w:szCs w:val="28"/>
          <w:lang w:eastAsia="zh-CN" w:bidi="ar-SA"/>
        </w:rPr>
        <w:t xml:space="preserve"> 地质环境问题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影响</w:t>
      </w:r>
      <w:r>
        <w:rPr>
          <w:b w:val="0"/>
          <w:bCs w:val="0"/>
          <w:kern w:val="2"/>
          <w:sz w:val="28"/>
          <w:szCs w:val="28"/>
          <w:lang w:eastAsia="zh-CN" w:bidi="ar-SA"/>
        </w:rPr>
        <w:t>现状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评估</w:t>
      </w:r>
      <w:r>
        <w:rPr>
          <w:b w:val="0"/>
          <w:bCs w:val="0"/>
          <w:kern w:val="2"/>
          <w:sz w:val="28"/>
          <w:szCs w:val="28"/>
          <w:lang w:eastAsia="zh-CN" w:bidi="ar-SA"/>
        </w:rPr>
        <w:t>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.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土地利用现状图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b w:val="0"/>
          <w:bCs w:val="0"/>
          <w:kern w:val="2"/>
          <w:sz w:val="28"/>
          <w:szCs w:val="28"/>
          <w:lang w:eastAsia="zh-CN" w:bidi="ar-SA"/>
        </w:rPr>
        <w:t>.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地质环境问题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与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土地损毁预测图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.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土地复垦规划图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8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.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地质环境治理工程部署图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（三）附件一册。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lang w:eastAsia="zh-CN"/>
        </w:rPr>
      </w:pPr>
      <w:bookmarkStart w:id="6" w:name="bookmark24"/>
      <w:r>
        <w:rPr>
          <w:rFonts w:hint="eastAsia"/>
          <w:sz w:val="28"/>
          <w:szCs w:val="28"/>
          <w:lang w:eastAsia="zh-CN"/>
        </w:rPr>
        <w:t>三、主要成绩与优点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sz w:val="28"/>
          <w:szCs w:val="28"/>
          <w:lang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  <w:t>矿产资源开发利用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矿山</w:t>
      </w:r>
      <w:r>
        <w:rPr>
          <w:rFonts w:hint="eastAsia" w:ascii="宋体" w:hAnsi="宋体" w:eastAsia="宋体" w:cs="宋体"/>
          <w:sz w:val="28"/>
          <w:szCs w:val="28"/>
        </w:rPr>
        <w:t>资源储量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根据《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库尔勒市库尔楚北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5号建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筑用砂矿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普查报告》及专家评审意见，经本次工作，</w:t>
      </w:r>
      <w:r>
        <w:rPr>
          <w:rFonts w:hint="eastAsia" w:ascii="宋体" w:hAnsi="宋体" w:eastAsia="宋体" w:cs="宋体"/>
          <w:sz w:val="28"/>
          <w:szCs w:val="28"/>
        </w:rPr>
        <w:t>截止20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日，对矿区范围所圈定的矿体进行了资源量估算，在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开采标高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1116-1062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米范围内，扣除压覆边坡后，推断资源量为265.96万立方米，松散矿石量329.79万立方米（松散系数1.24）。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、矿体裸露地表，开采技术条件较好，适宜露天开采。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  <w:t>全矿剥采比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 w:bidi="en-US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 w:bidi="en-US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、《方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案》根据矿体赋存特征及开采技术条件，采用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露天-凹陷式开采方式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、主要建设方案：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1）设计矿山生产规模为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建筑用砂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矿原矿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45万立方米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）开采方式：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露天-凹陷式开采方式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）开拓运输方案：公路开拓、汽车运输方案；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）采矿方法：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单台阶</w:t>
      </w:r>
      <w:r>
        <w:rPr>
          <w:rFonts w:hint="eastAsia" w:ascii="宋体" w:hAnsi="宋体" w:eastAsia="宋体" w:cs="宋体"/>
          <w:sz w:val="28"/>
          <w:szCs w:val="28"/>
        </w:rPr>
        <w:t>凹进式开采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，挖掘机、装载机联合开采。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）露天开采最终境界：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开采最高标高：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1116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底部最低标高：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1062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最终台阶高度：6米。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底部最小宽度：大于等于20米。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最终边坡角：45°。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）设计损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失率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%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采矿回采率9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）开采境界内资源储量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265.96万立方米。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）矿山工作制度：年工作2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0天，日工作1班，每班8小时。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）设计矿山服务年限：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）开采工艺流程为：矿体呈近水平层状产出，适宜露天开采。直接用挖掘机配装载机采装进行挖运即可。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）生产工艺：采挖砂石原矿松散状态易分离，选用40*40mm的网格筛采用重力筛选方式分离出粒径＞40mm的粒级及≤40mm粒级。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）投资估算：该矿为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新建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矿山，项目建设投资1465.34万元，正常运行需要流动资金146.53万元，项目总投资1611.87万元。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)经济评价：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①矿产品价格：成品砂石料市场均价为0.1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～5.00毫米砂价格一般为50元/立方米，5.00～20毫米卵石价格一般为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元/立方米，20～40毫米卵石价格一般为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②销售收入：2085.13万元。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③上缴所得税：524.11万元。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④税后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利润：751.18万元。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⑤静态投资回收期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sz w:val="28"/>
          <w:szCs w:val="28"/>
          <w:lang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  <w:t>地质环境治理和土地复垦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</w:pPr>
      <w:r>
        <w:rPr>
          <w:rFonts w:hint="eastAsia" w:ascii="宋体" w:hAnsi="宋体" w:eastAsia="宋体" w:cs="仿宋_GB2312"/>
          <w:sz w:val="28"/>
          <w:szCs w:val="28"/>
          <w:highlight w:val="none"/>
          <w:lang w:eastAsia="zh-CN" w:bidi="ar-SA"/>
        </w:rPr>
        <w:t>现状条件下评估区内无地质灾害，崩塌隐患不发育；滑坡、泥石流、地面塌陷、地裂缝、地面沉降地质灾害发育程度弱，危害程度小，危险性小；对含水层破坏程度较轻；对地形地貌景观影响和破坏程度</w:t>
      </w:r>
      <w:r>
        <w:rPr>
          <w:rFonts w:hint="eastAsia" w:ascii="宋体" w:hAnsi="宋体" w:eastAsia="宋体" w:cs="仿宋_GB2312"/>
          <w:sz w:val="28"/>
          <w:szCs w:val="28"/>
          <w:highlight w:val="none"/>
          <w:lang w:val="en-US" w:eastAsia="zh-CN" w:bidi="ar-SA"/>
        </w:rPr>
        <w:t>严重</w:t>
      </w:r>
      <w:r>
        <w:rPr>
          <w:rFonts w:hint="eastAsia" w:ascii="宋体" w:hAnsi="宋体" w:eastAsia="宋体" w:cs="仿宋_GB2312"/>
          <w:sz w:val="28"/>
          <w:szCs w:val="28"/>
          <w:highlight w:val="none"/>
          <w:lang w:eastAsia="zh-CN" w:bidi="ar-SA"/>
        </w:rPr>
        <w:t>；对水土环境污染程度较轻，对大气污染程度较轻。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预测评估露天采矿场遭受崩塌地质灾害的可能性中等，危害程度中等，危险性中等；不易引发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val="en-US" w:eastAsia="zh-CN" w:bidi="ar-SA"/>
        </w:rPr>
        <w:t>滑坡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、泥石流、地面塌陷、地面沉降、地裂缝等地质灾害。矿山开采对含水层破坏程度较轻；预测采矿场对地形地貌景观影响和破坏程度严重，废石堆放场、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val="en-US" w:eastAsia="zh-CN" w:bidi="ar-SA"/>
        </w:rPr>
        <w:t>工业广场、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生活区及矿区道路对地形地貌景观影响和破坏程度较严重，其他设施场地对地形地貌景观影响和破坏程度较轻；对水土环境污染程度较轻，对大气污染程度较轻。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划分了矿山地质环境保护与治理恢复重点区、次重点区和一般区。其中规划采露天采矿场为重点区，面积47.34公顷，生活办公区、工业广场、废石堆放场和矿山道路区域为次重点防治区，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val="en-US" w:eastAsia="zh-CN" w:bidi="ar-SA"/>
        </w:rPr>
        <w:t>面积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2.45公顷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，其他区域为一般防治区，面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积6.48公顷。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预测本矿山破坏土地总面积为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49.79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公顷，计划进行复垦面积为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49.79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公顷，土地复垦率为100％。土地复垦方向为尽量恢复原有地貌景观或与周边地形地貌相协调，复垦方向为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裸石砾地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分别针对崩塌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等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地质灾害和地形地貌景观采取相对应的保护与防治措施；对崩塌灾害采取设置围栏、警示牌及清理危岩等治理措施，对采矿场进行回填等复垦措施；建立矿山地质环境监测系统，开展地质灾害、地形地貌景观以及土地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损毁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监测。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方案服务年限内，矿山服务年限内，矿山地质环境治理工程总费用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18.19万元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，土地复垦工程总费用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970.54万元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，矿山地质环境治理工程和土地复垦工程静态总投资为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988.73万元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。其中工程施工费为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819.24万元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，监测费为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.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5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，其他费用为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114.25万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元，预备费为4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7.08万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元。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存在问题及建议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default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  <w:t>（一）地环部分意见</w:t>
      </w:r>
    </w:p>
    <w:bookmarkEnd w:id="6"/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方案目录简化至二级目录即可，任务由来内容放在最前面，不应涵盖在编制目的中；编制目的中补充为自然资源管理部门监督、检查和督促矿山企业落实矿山地质环境保护、土地复垦及水土污染与大气污染防治责任与义务的重要依据的内容；补充编制任务。方案适用年限应根据实际送审时间进行调整；项目组主要人员分工表与信息表内成员不一致；工作方法中出现“中交路桥建设有限公司”应核实；图0-1工作程序框图应与规范中保持一致；文中出现“焉耆县自然资源局”应核实；野外调查中利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en-US" w:bidi="en-US"/>
        </w:rPr>
        <w:t>Google卫星地图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说法不妥，改为高清影像地图；表0-3生态功能区划分有误；野外调查范围中一般调查区包含历史采坑为蓄水防洪工程，前文说明该采坑要纳入地质环境治理工程，相互矛盾应核实。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第一章交通位置图裁图范围过大，需要反应文字中反应的位置和交通情况，补充矿区范围示意图，图1-2中采空区标注不准确。地形地貌中缺少对已有采坑的描述；地层岩性中对于深度未知、水位未知等论述不合适，核实地层时代及成因；图1-5看不清，需要调整；地震内容应并入地质构造部分；水文地质内容应当论述地下水内容，包含地下水类型、补径排条件等；工程地质中将土体论述为岩组有误，结构松散论述不妥，对该土体工程地质论述内容不够，缺少级配、承载力特征值等内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第四章矿山地质环境治理中；地质灾害防治中论述主要地质灾害为崩塌，但第三章论述崩塌灾害危险性均为小，存在矛盾，应核实；地形地貌景观监测不应设置监测点，按次进行全区域监测即可。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default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  <w:t>（二）开发部分意见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1）最终境界图绘制错误，采场边坡绘制错误，采场道路坡度与采场地形矛盾，回采的采场境界与周边地形标高矛盾。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2）矿区开采范围内，地形坡度较大，按自然地形形成采场最终境界底部坡度较大，开采设备，运输设备在坡面上作业存在风险，应说明开采作业平台的坡度要求。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3）凹陷采场无法自流排水，防治水方案中应说明机械排水的设备。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4）采场剖面图中，采场最终境界台阶坡面角绘制错误。采场最终境界边坡角45°计算错误。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5）筛分工艺中，缺少供水设施和设备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6）供电变压器2500kva容量明显过大，超过企业用电负荷需要。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7）编制依据中的《采矿设计手册》不属于规范规程，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《工业企业总平面设计规范》（GB50187～1993）,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《金属非金属矿山安全规程》（GB16423～2006）等版本日期错误。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default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  <w:t>（三）复垦部分意见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1）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土地复垦质量要求章节露天复垦标准“最终边坡不大于45°”不合理，该坡度角是开采境界参数，建议复垦后边坡角不大于30度，可设计废石垫坡措施，进一步降坡取缓，确保回填复垦后的地貌与周边地形地貌相协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土地复垦工程章节补充复垦工程量汇总表，包含复垦工程措施工程量、监测措施工程量；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矿山生产服务年限为5.6年，P89—P90年度工作安排文字叙述及表5-12只说明了近5年工程量，应将剩余0.6年工程量一并叙述，并在年度复垦费用估算表6-29补充计算剩余年限投资费用，确保本方案工程量及投资计算完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各年度复垦投资分解表6-29引用的“各年度工程量”，与年度土地复垦实施计划表5-12工程量不一致，须核实修改，重算各年度费用；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土地复垦费用基金计提表6-30“第一年预存土地复垦资金占总费用的20％”，与新自然资规〔2022〕1号基金计提政策矛盾，须严格执行新政策；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地质环境治理与土地复垦工程动态投资计算表6-2-23、表6-2-24，各年度静态投资不应采用同一数值，应依据各年度工作计划安排确定费用；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en-US"/>
        </w:rPr>
        <w:t>方案仍存在文字表述和数据前后不一致情况，须认真通读全文校核。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五、审查结论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告章节安排基本合理，内容基本齐全，基本符合新自然资规〔2021〕3号文《关于进一步推进和完善矿产资源管理有关工作的通知》及原国土资源部国土资规〔2016〕21号文、新国土资规〔2018〕1号文的相关要求。报告分析论证有据，结论正确，措施可行，可作为该矿矿产资源开发利用与生态保护修复的依据，同意审查通过。</w:t>
      </w:r>
    </w:p>
    <w:p>
      <w:pPr>
        <w:pStyle w:val="17"/>
        <w:spacing w:line="500" w:lineRule="exact"/>
        <w:ind w:firstLine="6626" w:firstLineChars="2200"/>
        <w:jc w:val="both"/>
        <w:rPr>
          <w:rFonts w:hint="eastAsia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159385</wp:posOffset>
            </wp:positionV>
            <wp:extent cx="1151255" cy="651510"/>
            <wp:effectExtent l="0" t="0" r="6985" b="3810"/>
            <wp:wrapTight wrapText="bothSides">
              <wp:wrapPolygon>
                <wp:start x="0" y="0"/>
                <wp:lineTo x="0" y="21221"/>
                <wp:lineTo x="21445" y="21221"/>
                <wp:lineTo x="2144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4154" r="27771" b="9166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spacing w:line="500" w:lineRule="exact"/>
        <w:ind w:firstLine="4854" w:firstLineChars="1727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评审专家组长：</w:t>
      </w:r>
    </w:p>
    <w:p>
      <w:pPr>
        <w:pStyle w:val="19"/>
        <w:spacing w:after="40" w:line="500" w:lineRule="exact"/>
        <w:ind w:firstLine="0"/>
        <w:jc w:val="right"/>
        <w:rPr>
          <w:sz w:val="28"/>
          <w:szCs w:val="28"/>
          <w:lang w:eastAsia="zh-CN"/>
        </w:rPr>
      </w:pPr>
    </w:p>
    <w:p>
      <w:pPr>
        <w:jc w:val="center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bCs/>
          <w:sz w:val="28"/>
          <w:szCs w:val="28"/>
          <w:lang w:eastAsia="zh-CN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  <w:lang w:eastAsia="zh-CN"/>
        </w:rPr>
        <w:t>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bookmarkStart w:id="7" w:name="_GoBack"/>
      <w:bookmarkEnd w:id="7"/>
    </w:p>
    <w:sectPr>
      <w:footerReference r:id="rId5" w:type="default"/>
      <w:pgSz w:w="11900" w:h="16840"/>
      <w:pgMar w:top="1440" w:right="1134" w:bottom="1440" w:left="1134" w:header="964" w:footer="96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485007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6E684"/>
    <w:multiLevelType w:val="singleLevel"/>
    <w:tmpl w:val="E9A6E6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4EF5D9"/>
    <w:multiLevelType w:val="singleLevel"/>
    <w:tmpl w:val="314EF5D9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DQxNjg2NWQzOWI3OGE0NWY4MWRkNWFjNmI3ZGY3ZGMifQ=="/>
    <w:docVar w:name="KSO_WPS_MARK_KEY" w:val="8d673125-89b3-4bc0-ba8f-9ba510037f74"/>
  </w:docVars>
  <w:rsids>
    <w:rsidRoot w:val="000D55E0"/>
    <w:rsid w:val="00017133"/>
    <w:rsid w:val="00036395"/>
    <w:rsid w:val="000405A0"/>
    <w:rsid w:val="0008114E"/>
    <w:rsid w:val="000A4A63"/>
    <w:rsid w:val="000D55E0"/>
    <w:rsid w:val="00136118"/>
    <w:rsid w:val="00136A08"/>
    <w:rsid w:val="0015228B"/>
    <w:rsid w:val="00167961"/>
    <w:rsid w:val="001C07BA"/>
    <w:rsid w:val="001E7E66"/>
    <w:rsid w:val="002201BE"/>
    <w:rsid w:val="00221E07"/>
    <w:rsid w:val="002966A0"/>
    <w:rsid w:val="002E5AD1"/>
    <w:rsid w:val="00316453"/>
    <w:rsid w:val="00333943"/>
    <w:rsid w:val="00336737"/>
    <w:rsid w:val="00381023"/>
    <w:rsid w:val="003C3BF5"/>
    <w:rsid w:val="004202A9"/>
    <w:rsid w:val="00450995"/>
    <w:rsid w:val="00461862"/>
    <w:rsid w:val="004758A9"/>
    <w:rsid w:val="0048282F"/>
    <w:rsid w:val="004A4D07"/>
    <w:rsid w:val="004B3B70"/>
    <w:rsid w:val="004C480A"/>
    <w:rsid w:val="004F5091"/>
    <w:rsid w:val="00595506"/>
    <w:rsid w:val="005B33EB"/>
    <w:rsid w:val="005B4453"/>
    <w:rsid w:val="005C2147"/>
    <w:rsid w:val="006154F0"/>
    <w:rsid w:val="006220EA"/>
    <w:rsid w:val="00625DBD"/>
    <w:rsid w:val="00661A41"/>
    <w:rsid w:val="0066407D"/>
    <w:rsid w:val="006A06FC"/>
    <w:rsid w:val="00706F68"/>
    <w:rsid w:val="00735FC6"/>
    <w:rsid w:val="00764B78"/>
    <w:rsid w:val="00795BA8"/>
    <w:rsid w:val="007D2C8E"/>
    <w:rsid w:val="008005B2"/>
    <w:rsid w:val="0080324D"/>
    <w:rsid w:val="00832279"/>
    <w:rsid w:val="008D18AC"/>
    <w:rsid w:val="00923233"/>
    <w:rsid w:val="00953505"/>
    <w:rsid w:val="00A03353"/>
    <w:rsid w:val="00A07DA0"/>
    <w:rsid w:val="00B67129"/>
    <w:rsid w:val="00B70396"/>
    <w:rsid w:val="00B778F6"/>
    <w:rsid w:val="00BA6FE8"/>
    <w:rsid w:val="00BB2496"/>
    <w:rsid w:val="00BB6359"/>
    <w:rsid w:val="00BB6F51"/>
    <w:rsid w:val="00BF2521"/>
    <w:rsid w:val="00C76BE2"/>
    <w:rsid w:val="00C944C9"/>
    <w:rsid w:val="00CA5415"/>
    <w:rsid w:val="00CC390A"/>
    <w:rsid w:val="00D21D30"/>
    <w:rsid w:val="00D93FEB"/>
    <w:rsid w:val="00DC740F"/>
    <w:rsid w:val="00DC7F94"/>
    <w:rsid w:val="00DF5B8B"/>
    <w:rsid w:val="00E12A76"/>
    <w:rsid w:val="00E720C5"/>
    <w:rsid w:val="00E729D2"/>
    <w:rsid w:val="00EE2974"/>
    <w:rsid w:val="00F45643"/>
    <w:rsid w:val="00FD7ED5"/>
    <w:rsid w:val="028E2CE7"/>
    <w:rsid w:val="02943273"/>
    <w:rsid w:val="02C42AAA"/>
    <w:rsid w:val="02D702F3"/>
    <w:rsid w:val="05C3315A"/>
    <w:rsid w:val="05C77FC6"/>
    <w:rsid w:val="06782EB9"/>
    <w:rsid w:val="06B377D6"/>
    <w:rsid w:val="06D93994"/>
    <w:rsid w:val="074A5719"/>
    <w:rsid w:val="07E6135B"/>
    <w:rsid w:val="093B4F24"/>
    <w:rsid w:val="0AE6250F"/>
    <w:rsid w:val="0B077894"/>
    <w:rsid w:val="0C2939BD"/>
    <w:rsid w:val="0C5A0B8A"/>
    <w:rsid w:val="0CFE7C2F"/>
    <w:rsid w:val="16F01850"/>
    <w:rsid w:val="1A295685"/>
    <w:rsid w:val="1B422EA2"/>
    <w:rsid w:val="1CB22960"/>
    <w:rsid w:val="1CC32CE3"/>
    <w:rsid w:val="1DCE078B"/>
    <w:rsid w:val="1F1871E8"/>
    <w:rsid w:val="1F6372C0"/>
    <w:rsid w:val="23583E1D"/>
    <w:rsid w:val="262624A4"/>
    <w:rsid w:val="26334A71"/>
    <w:rsid w:val="27566723"/>
    <w:rsid w:val="28F04E1F"/>
    <w:rsid w:val="29443602"/>
    <w:rsid w:val="29E256BB"/>
    <w:rsid w:val="2C027343"/>
    <w:rsid w:val="2FEF6776"/>
    <w:rsid w:val="3305425E"/>
    <w:rsid w:val="34CE1A14"/>
    <w:rsid w:val="35996214"/>
    <w:rsid w:val="359A67FC"/>
    <w:rsid w:val="375017D4"/>
    <w:rsid w:val="3B893D24"/>
    <w:rsid w:val="3E560023"/>
    <w:rsid w:val="413E71FC"/>
    <w:rsid w:val="42EA7B00"/>
    <w:rsid w:val="42EA7E96"/>
    <w:rsid w:val="42F02AB8"/>
    <w:rsid w:val="443D2BA6"/>
    <w:rsid w:val="444E5D09"/>
    <w:rsid w:val="46735EC6"/>
    <w:rsid w:val="49EC6171"/>
    <w:rsid w:val="4A605D3D"/>
    <w:rsid w:val="4ABB3662"/>
    <w:rsid w:val="507860D2"/>
    <w:rsid w:val="508E6FA2"/>
    <w:rsid w:val="50BA20AD"/>
    <w:rsid w:val="52A92034"/>
    <w:rsid w:val="530370B5"/>
    <w:rsid w:val="53B4535C"/>
    <w:rsid w:val="53E40360"/>
    <w:rsid w:val="582F1AA6"/>
    <w:rsid w:val="58405319"/>
    <w:rsid w:val="584114D5"/>
    <w:rsid w:val="587E1AEC"/>
    <w:rsid w:val="58C50581"/>
    <w:rsid w:val="59394C36"/>
    <w:rsid w:val="593E5662"/>
    <w:rsid w:val="5B0A6877"/>
    <w:rsid w:val="607628A1"/>
    <w:rsid w:val="611B3D67"/>
    <w:rsid w:val="616C5E66"/>
    <w:rsid w:val="647E3182"/>
    <w:rsid w:val="64DE0C23"/>
    <w:rsid w:val="64F57D59"/>
    <w:rsid w:val="67997F67"/>
    <w:rsid w:val="67D34300"/>
    <w:rsid w:val="682F3361"/>
    <w:rsid w:val="6C1224B5"/>
    <w:rsid w:val="6EE35558"/>
    <w:rsid w:val="703F45D4"/>
    <w:rsid w:val="7209672D"/>
    <w:rsid w:val="721A055A"/>
    <w:rsid w:val="722443FB"/>
    <w:rsid w:val="731F5122"/>
    <w:rsid w:val="75C86589"/>
    <w:rsid w:val="7A1F5658"/>
    <w:rsid w:val="7D8B70AB"/>
    <w:rsid w:val="7E6B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360" w:lineRule="auto"/>
      <w:ind w:left="420" w:leftChars="200"/>
    </w:pPr>
  </w:style>
  <w:style w:type="paragraph" w:styleId="3">
    <w:name w:val="Body Text Indent"/>
    <w:basedOn w:val="1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4">
    <w:name w:val="List Continue 4"/>
    <w:basedOn w:val="1"/>
    <w:next w:val="1"/>
    <w:qFormat/>
    <w:uiPriority w:val="0"/>
    <w:pPr>
      <w:widowControl w:val="0"/>
      <w:autoSpaceDE/>
      <w:autoSpaceDN/>
      <w:spacing w:before="0" w:after="120" w:line="360" w:lineRule="auto"/>
      <w:ind w:left="0" w:firstLine="480"/>
      <w:jc w:val="center"/>
    </w:pPr>
    <w:rPr>
      <w:rFonts w:ascii="宋体" w:hAnsi="宋体" w:eastAsia="宋体"/>
    </w:r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link w:val="30"/>
    <w:qFormat/>
    <w:uiPriority w:val="0"/>
    <w:pPr>
      <w:spacing w:after="120"/>
      <w:jc w:val="both"/>
    </w:pPr>
    <w:rPr>
      <w:rFonts w:ascii="Times New Roman" w:hAnsi="Times New Roman" w:eastAsia="宋体" w:cs="Times New Roman"/>
      <w:color w:val="auto"/>
      <w:kern w:val="2"/>
      <w:sz w:val="21"/>
      <w:lang w:eastAsia="zh-CN" w:bidi="ar-SA"/>
    </w:rPr>
  </w:style>
  <w:style w:type="paragraph" w:styleId="7">
    <w:name w:val="Plain Text"/>
    <w:basedOn w:val="1"/>
    <w:link w:val="31"/>
    <w:qFormat/>
    <w:uiPriority w:val="0"/>
    <w:pPr>
      <w:jc w:val="both"/>
    </w:pPr>
    <w:rPr>
      <w:rFonts w:ascii="宋体" w:hAnsi="Courier New" w:eastAsia="宋体" w:cs="Courier New"/>
      <w:color w:val="auto"/>
      <w:kern w:val="2"/>
      <w:sz w:val="21"/>
      <w:szCs w:val="21"/>
      <w:lang w:eastAsia="zh-CN" w:bidi="ar-SA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！正文"/>
    <w:basedOn w:val="1"/>
    <w:qFormat/>
    <w:uiPriority w:val="0"/>
    <w:rPr>
      <w:kern w:val="0"/>
    </w:rPr>
  </w:style>
  <w:style w:type="character" w:customStyle="1" w:styleId="14">
    <w:name w:val="标题 #1_"/>
    <w:basedOn w:val="12"/>
    <w:link w:val="1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</w:rPr>
  </w:style>
  <w:style w:type="paragraph" w:customStyle="1" w:styleId="15">
    <w:name w:val="标题 #1"/>
    <w:basedOn w:val="1"/>
    <w:link w:val="14"/>
    <w:qFormat/>
    <w:uiPriority w:val="0"/>
    <w:pPr>
      <w:spacing w:after="80" w:line="552" w:lineRule="exact"/>
      <w:ind w:left="260"/>
      <w:outlineLvl w:val="0"/>
    </w:pPr>
    <w:rPr>
      <w:rFonts w:ascii="宋体" w:hAnsi="宋体" w:eastAsia="宋体" w:cs="宋体"/>
      <w:sz w:val="36"/>
      <w:szCs w:val="36"/>
    </w:rPr>
  </w:style>
  <w:style w:type="character" w:customStyle="1" w:styleId="16">
    <w:name w:val="正文文本 (2)_"/>
    <w:basedOn w:val="12"/>
    <w:link w:val="17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</w:rPr>
  </w:style>
  <w:style w:type="paragraph" w:customStyle="1" w:styleId="17">
    <w:name w:val="正文文本 (2)"/>
    <w:basedOn w:val="1"/>
    <w:link w:val="16"/>
    <w:qFormat/>
    <w:uiPriority w:val="0"/>
    <w:pPr>
      <w:spacing w:line="452" w:lineRule="exact"/>
      <w:ind w:firstLine="550"/>
    </w:pPr>
    <w:rPr>
      <w:rFonts w:ascii="宋体" w:hAnsi="宋体" w:eastAsia="宋体" w:cs="宋体"/>
      <w:b/>
      <w:bCs/>
      <w:sz w:val="30"/>
      <w:szCs w:val="30"/>
    </w:rPr>
  </w:style>
  <w:style w:type="character" w:customStyle="1" w:styleId="18">
    <w:name w:val="正文文本_"/>
    <w:basedOn w:val="12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9">
    <w:name w:val="正文文本1"/>
    <w:basedOn w:val="1"/>
    <w:link w:val="18"/>
    <w:qFormat/>
    <w:uiPriority w:val="0"/>
    <w:pPr>
      <w:spacing w:line="37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0">
    <w:name w:val="正文文本 (3)_"/>
    <w:basedOn w:val="12"/>
    <w:link w:val="21"/>
    <w:qFormat/>
    <w:uiPriority w:val="0"/>
    <w:rPr>
      <w:rFonts w:ascii="Arial" w:hAnsi="Arial" w:eastAsia="Arial" w:cs="Arial"/>
      <w:i/>
      <w:iCs/>
      <w:sz w:val="8"/>
      <w:szCs w:val="8"/>
      <w:u w:val="none"/>
      <w:shd w:val="clear" w:color="auto" w:fill="auto"/>
    </w:rPr>
  </w:style>
  <w:style w:type="paragraph" w:customStyle="1" w:styleId="21">
    <w:name w:val="正文文本 (3)"/>
    <w:basedOn w:val="1"/>
    <w:link w:val="20"/>
    <w:qFormat/>
    <w:uiPriority w:val="0"/>
    <w:pPr>
      <w:spacing w:after="100"/>
      <w:ind w:left="1080"/>
    </w:pPr>
    <w:rPr>
      <w:rFonts w:ascii="Arial" w:hAnsi="Arial" w:eastAsia="Arial" w:cs="Arial"/>
      <w:i/>
      <w:iCs/>
      <w:sz w:val="8"/>
      <w:szCs w:val="8"/>
    </w:rPr>
  </w:style>
  <w:style w:type="character" w:customStyle="1" w:styleId="22">
    <w:name w:val="表格标题_"/>
    <w:basedOn w:val="12"/>
    <w:link w:val="2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23">
    <w:name w:val="表格标题"/>
    <w:basedOn w:val="1"/>
    <w:link w:val="22"/>
    <w:qFormat/>
    <w:uiPriority w:val="0"/>
    <w:pPr>
      <w:spacing w:line="658" w:lineRule="exact"/>
      <w:jc w:val="center"/>
    </w:pPr>
    <w:rPr>
      <w:rFonts w:ascii="宋体" w:hAnsi="宋体" w:eastAsia="宋体" w:cs="宋体"/>
      <w:sz w:val="32"/>
      <w:szCs w:val="32"/>
    </w:rPr>
  </w:style>
  <w:style w:type="character" w:customStyle="1" w:styleId="24">
    <w:name w:val="其他_"/>
    <w:basedOn w:val="12"/>
    <w:link w:val="2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5">
    <w:name w:val="其他"/>
    <w:basedOn w:val="1"/>
    <w:link w:val="24"/>
    <w:qFormat/>
    <w:uiPriority w:val="0"/>
    <w:pPr>
      <w:spacing w:line="37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6">
    <w:name w:val="页眉 字符"/>
    <w:basedOn w:val="12"/>
    <w:link w:val="9"/>
    <w:qFormat/>
    <w:uiPriority w:val="99"/>
    <w:rPr>
      <w:color w:val="000000"/>
      <w:sz w:val="18"/>
      <w:szCs w:val="18"/>
    </w:rPr>
  </w:style>
  <w:style w:type="character" w:customStyle="1" w:styleId="27">
    <w:name w:val="页脚 字符"/>
    <w:basedOn w:val="12"/>
    <w:link w:val="8"/>
    <w:qFormat/>
    <w:uiPriority w:val="99"/>
    <w:rPr>
      <w:color w:val="000000"/>
      <w:sz w:val="18"/>
      <w:szCs w:val="18"/>
    </w:rPr>
  </w:style>
  <w:style w:type="paragraph" w:customStyle="1" w:styleId="28">
    <w:name w:val="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eastAsia="zh-CN" w:bidi="ar-SA"/>
    </w:rPr>
  </w:style>
  <w:style w:type="character" w:customStyle="1" w:styleId="29">
    <w:name w:val="文档结构图 字符"/>
    <w:basedOn w:val="12"/>
    <w:link w:val="5"/>
    <w:semiHidden/>
    <w:qFormat/>
    <w:uiPriority w:val="99"/>
    <w:rPr>
      <w:rFonts w:ascii="宋体" w:eastAsia="宋体"/>
      <w:color w:val="000000"/>
      <w:sz w:val="18"/>
      <w:szCs w:val="18"/>
      <w:lang w:eastAsia="en-US" w:bidi="en-US"/>
    </w:rPr>
  </w:style>
  <w:style w:type="character" w:customStyle="1" w:styleId="30">
    <w:name w:val="正文文本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纯文本 字符"/>
    <w:basedOn w:val="12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32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3952</Words>
  <Characters>4465</Characters>
  <Lines>26</Lines>
  <Paragraphs>7</Paragraphs>
  <TotalTime>0</TotalTime>
  <ScaleCrop>false</ScaleCrop>
  <LinksUpToDate>false</LinksUpToDate>
  <CharactersWithSpaces>4722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2022-01-24T08:47:00Z</dcterms:created>
  <dc:creator>Administrator</dc:creator>
  <cp:lastModifiedBy>百合花</cp:lastModifiedBy>
  <dcterms:modified xsi:type="dcterms:W3CDTF">2023-01-17T15:47:22Z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F49EEFB9934D40ADB393511B7B3F931A</vt:lpwstr>
  </property>
</Properties>
</file>