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方正小标宋简体" w:hAnsi="方正小标宋简体" w:eastAsia="方正小标宋简体" w:cs="方正小标宋简体"/>
          <w:sz w:val="32"/>
        </w:rPr>
      </w:pPr>
      <w:bookmarkStart w:id="0" w:name="bookmark2"/>
    </w:p>
    <w:p>
      <w:pPr>
        <w:spacing w:line="240" w:lineRule="exact"/>
        <w:rPr>
          <w:sz w:val="32"/>
        </w:rPr>
      </w:pPr>
    </w:p>
    <w:p>
      <w:pPr>
        <w:spacing w:line="240" w:lineRule="exact"/>
        <w:rPr>
          <w:sz w:val="32"/>
        </w:rPr>
      </w:pPr>
    </w:p>
    <w:p>
      <w:pPr>
        <w:spacing w:line="240" w:lineRule="exact"/>
        <w:rPr>
          <w:sz w:val="32"/>
        </w:rPr>
      </w:pPr>
    </w:p>
    <w:p>
      <w:pPr>
        <w:spacing w:line="240" w:lineRule="exact"/>
        <w:rPr>
          <w:sz w:val="32"/>
        </w:rPr>
      </w:pPr>
    </w:p>
    <w:p>
      <w:pPr>
        <w:jc w:val="center"/>
        <w:rPr>
          <w:rFonts w:ascii="宋体" w:hAnsi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关于对《库尔勒市桐洹建筑材料有限公司库尔勒市库尔楚北3号建筑用砂矿矿产资源开发利用与生态保护修复方案》专家意见的认定</w:t>
      </w:r>
    </w:p>
    <w:p>
      <w:pPr>
        <w:pStyle w:val="14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上库国土</w:t>
      </w:r>
      <w:r>
        <w:rPr>
          <w:rFonts w:hint="eastAsia" w:ascii="仿宋_GB2312" w:eastAsia="仿宋_GB2312"/>
          <w:sz w:val="32"/>
          <w:lang w:eastAsia="zh-CN"/>
        </w:rPr>
        <w:t>资</w:t>
      </w:r>
      <w:r>
        <w:rPr>
          <w:rFonts w:hint="eastAsia" w:ascii="仿宋_GB2312" w:eastAsia="仿宋_GB2312"/>
          <w:sz w:val="32"/>
          <w:lang w:val="en-US" w:eastAsia="zh-CN"/>
        </w:rPr>
        <w:t>开垦审发</w:t>
      </w:r>
      <w:r>
        <w:rPr>
          <w:rFonts w:hint="eastAsia" w:ascii="仿宋_GB2312" w:eastAsia="仿宋_GB2312"/>
          <w:sz w:val="32"/>
          <w:lang w:eastAsia="zh-CN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  <w:lang w:eastAsia="zh-CN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01</w:t>
      </w:r>
      <w:r>
        <w:rPr>
          <w:rFonts w:hint="eastAsia" w:ascii="仿宋_GB2312" w:eastAsia="仿宋_GB2312"/>
          <w:sz w:val="32"/>
          <w:lang w:eastAsia="zh-CN"/>
        </w:rPr>
        <w:t>号</w:t>
      </w:r>
    </w:p>
    <w:p>
      <w:pPr>
        <w:pStyle w:val="14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240" w:lineRule="exact"/>
        <w:ind w:firstLine="4572" w:firstLineChars="1429"/>
        <w:rPr>
          <w:rFonts w:ascii="仿宋_GB2312" w:eastAsia="仿宋_GB2312"/>
          <w:sz w:val="32"/>
          <w:lang w:eastAsia="zh-CN"/>
        </w:rPr>
      </w:pPr>
    </w:p>
    <w:p>
      <w:pPr>
        <w:spacing w:line="240" w:lineRule="exact"/>
        <w:ind w:firstLine="4572" w:firstLineChars="142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pStyle w:val="14"/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巴州国土资源局库尔勒上库综合产业园区分局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</w:p>
    <w:p>
      <w:pPr>
        <w:jc w:val="center"/>
        <w:rPr>
          <w:rFonts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  <w:lang w:eastAsia="zh-CN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  <w:lang w:eastAsia="zh-CN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lang w:eastAsia="zh-CN"/>
        </w:rPr>
        <w:t>日</w:t>
      </w:r>
    </w:p>
    <w:p>
      <w:pPr>
        <w:spacing w:line="240" w:lineRule="exact"/>
        <w:jc w:val="center"/>
        <w:rPr>
          <w:rFonts w:ascii="仿宋_GB2312" w:eastAsia="仿宋_GB2312"/>
          <w:sz w:val="32"/>
          <w:lang w:eastAsia="zh-CN"/>
        </w:rPr>
      </w:pPr>
    </w:p>
    <w:p>
      <w:pPr>
        <w:spacing w:line="240" w:lineRule="exact"/>
        <w:jc w:val="center"/>
        <w:rPr>
          <w:rFonts w:ascii="仿宋_GB2312" w:eastAsia="仿宋_GB2312"/>
          <w:sz w:val="32"/>
          <w:lang w:eastAsia="zh-CN"/>
        </w:rPr>
      </w:pPr>
    </w:p>
    <w:p>
      <w:pPr>
        <w:spacing w:line="240" w:lineRule="exact"/>
        <w:rPr>
          <w:rFonts w:ascii="仿宋_GB2312" w:eastAsia="仿宋_GB2312"/>
          <w:sz w:val="32"/>
          <w:lang w:eastAsia="zh-CN"/>
        </w:rPr>
      </w:pPr>
    </w:p>
    <w:p>
      <w:pPr>
        <w:pStyle w:val="2"/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0"/>
          <w:sz w:val="30"/>
          <w:szCs w:val="30"/>
          <w:lang w:eastAsia="zh-CN"/>
        </w:rPr>
        <w:t>编写单</w:t>
      </w:r>
      <w:r>
        <w:rPr>
          <w:rFonts w:hint="eastAsia" w:ascii="仿宋_GB2312" w:eastAsia="仿宋_GB2312"/>
          <w:sz w:val="30"/>
          <w:szCs w:val="30"/>
          <w:lang w:eastAsia="zh-CN"/>
        </w:rPr>
        <w:t>位：新疆地矿局第三地质大队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37"/>
          <w:sz w:val="30"/>
          <w:szCs w:val="30"/>
          <w:lang w:eastAsia="zh-CN"/>
        </w:rPr>
        <w:t>单位负责</w:t>
      </w:r>
      <w:r>
        <w:rPr>
          <w:rFonts w:hint="eastAsia" w:ascii="仿宋_GB2312" w:eastAsia="仿宋_GB2312"/>
          <w:spacing w:val="2"/>
          <w:sz w:val="30"/>
          <w:szCs w:val="30"/>
          <w:lang w:eastAsia="zh-CN"/>
        </w:rPr>
        <w:t>人</w:t>
      </w:r>
      <w:r>
        <w:rPr>
          <w:rFonts w:hint="eastAsia" w:ascii="仿宋_GB2312" w:eastAsia="仿宋_GB2312"/>
          <w:sz w:val="30"/>
          <w:szCs w:val="30"/>
          <w:lang w:eastAsia="zh-CN"/>
        </w:rPr>
        <w:t xml:space="preserve">：石福品 </w:t>
      </w:r>
    </w:p>
    <w:p>
      <w:pPr>
        <w:spacing w:line="600" w:lineRule="exact"/>
        <w:ind w:left="1644" w:leftChars="685"/>
        <w:rPr>
          <w:rFonts w:ascii="仿宋_GB2312" w:eastAsia="仿宋_GB2312"/>
          <w:spacing w:val="37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37"/>
          <w:sz w:val="30"/>
          <w:szCs w:val="30"/>
          <w:lang w:eastAsia="zh-CN"/>
        </w:rPr>
        <w:t>技术负责人：陈建中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编   写  人：</w:t>
      </w:r>
      <w:r>
        <w:rPr>
          <w:rFonts w:hint="eastAsia" w:ascii="仿宋_GB2312" w:eastAsia="仿宋_GB2312"/>
          <w:spacing w:val="37"/>
          <w:sz w:val="30"/>
          <w:szCs w:val="30"/>
          <w:lang w:eastAsia="zh-CN"/>
        </w:rPr>
        <w:t>杨文臣、</w:t>
      </w:r>
      <w:r>
        <w:rPr>
          <w:rFonts w:hint="eastAsia" w:ascii="仿宋_GB2312" w:eastAsia="仿宋_GB2312"/>
          <w:spacing w:val="37"/>
          <w:sz w:val="30"/>
          <w:szCs w:val="30"/>
          <w:lang w:val="en-US" w:eastAsia="zh-CN"/>
        </w:rPr>
        <w:t>杜金花</w:t>
      </w:r>
      <w:r>
        <w:rPr>
          <w:rFonts w:hint="eastAsia" w:ascii="仿宋_GB2312" w:eastAsia="仿宋_GB2312"/>
          <w:spacing w:val="37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pacing w:val="37"/>
          <w:sz w:val="30"/>
          <w:szCs w:val="30"/>
          <w:lang w:val="en-US" w:eastAsia="zh-CN"/>
        </w:rPr>
        <w:t>吴春伟</w:t>
      </w:r>
      <w:r>
        <w:rPr>
          <w:rFonts w:hint="eastAsia" w:ascii="仿宋_GB2312" w:eastAsia="仿宋_GB2312"/>
          <w:spacing w:val="37"/>
          <w:sz w:val="30"/>
          <w:szCs w:val="30"/>
          <w:lang w:eastAsia="zh-CN"/>
        </w:rPr>
        <w:t xml:space="preserve"> 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0"/>
          <w:sz w:val="30"/>
          <w:szCs w:val="30"/>
          <w:lang w:eastAsia="zh-CN"/>
        </w:rPr>
        <w:t>提交单</w:t>
      </w:r>
      <w:r>
        <w:rPr>
          <w:rFonts w:hint="eastAsia" w:ascii="仿宋_GB2312" w:eastAsia="仿宋_GB2312"/>
          <w:sz w:val="30"/>
          <w:szCs w:val="30"/>
          <w:lang w:eastAsia="zh-CN"/>
        </w:rPr>
        <w:t>位：库尔勒市桐洹建筑材料有限公司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0"/>
          <w:sz w:val="30"/>
          <w:szCs w:val="30"/>
          <w:lang w:eastAsia="zh-CN"/>
        </w:rPr>
        <w:t>提交时</w:t>
      </w:r>
      <w:r>
        <w:rPr>
          <w:rFonts w:hint="eastAsia" w:ascii="仿宋_GB2312" w:eastAsia="仿宋_GB2312"/>
          <w:sz w:val="30"/>
          <w:szCs w:val="30"/>
          <w:lang w:eastAsia="zh-CN"/>
        </w:rPr>
        <w:t>间：2022年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  <w:lang w:eastAsia="zh-CN"/>
        </w:rPr>
        <w:t>月</w:t>
      </w:r>
    </w:p>
    <w:p>
      <w:pPr>
        <w:spacing w:line="600" w:lineRule="exact"/>
        <w:ind w:left="1644" w:leftChars="68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0"/>
          <w:sz w:val="30"/>
          <w:szCs w:val="30"/>
          <w:lang w:eastAsia="zh-CN"/>
        </w:rPr>
        <w:t>主审专</w:t>
      </w:r>
      <w:r>
        <w:rPr>
          <w:rFonts w:hint="eastAsia" w:ascii="仿宋_GB2312" w:eastAsia="仿宋_GB2312"/>
          <w:sz w:val="30"/>
          <w:szCs w:val="30"/>
          <w:lang w:eastAsia="zh-CN"/>
        </w:rPr>
        <w:t>家：郝晨亮</w:t>
      </w:r>
    </w:p>
    <w:p>
      <w:pPr>
        <w:spacing w:line="600" w:lineRule="exact"/>
        <w:ind w:left="1644" w:leftChars="68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100"/>
          <w:sz w:val="30"/>
          <w:szCs w:val="30"/>
          <w:lang w:eastAsia="zh-CN"/>
        </w:rPr>
        <w:t>评审专</w:t>
      </w:r>
      <w:r>
        <w:rPr>
          <w:rFonts w:hint="eastAsia" w:ascii="仿宋_GB2312" w:eastAsia="仿宋_GB2312"/>
          <w:sz w:val="30"/>
          <w:szCs w:val="30"/>
          <w:lang w:eastAsia="zh-CN"/>
        </w:rPr>
        <w:t>家：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王多生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bookmarkStart w:id="7" w:name="_GoBack"/>
      <w:bookmarkEnd w:id="7"/>
      <w:r>
        <w:rPr>
          <w:rFonts w:hint="eastAsia" w:ascii="仿宋_GB2312" w:eastAsia="仿宋_GB2312"/>
          <w:sz w:val="30"/>
          <w:szCs w:val="30"/>
          <w:lang w:val="en-US" w:eastAsia="zh-CN"/>
        </w:rPr>
        <w:t>张飞</w:t>
      </w:r>
    </w:p>
    <w:p>
      <w:pPr>
        <w:pStyle w:val="9"/>
        <w:spacing w:line="560" w:lineRule="exact"/>
        <w:ind w:firstLine="1680" w:firstLineChars="600"/>
        <w:rPr>
          <w:rFonts w:hint="eastAsia" w:ascii="仿宋_GB2312" w:eastAsia="仿宋_GB2312" w:cs="宋体"/>
          <w:sz w:val="28"/>
          <w:szCs w:val="28"/>
          <w:lang w:eastAsia="zh-CN" w:bidi="en-US"/>
        </w:rPr>
      </w:pPr>
      <w:r>
        <w:rPr>
          <w:rFonts w:hint="eastAsia" w:ascii="仿宋_GB2312" w:eastAsia="仿宋_GB2312" w:cs="宋体"/>
          <w:sz w:val="28"/>
          <w:szCs w:val="28"/>
          <w:lang w:eastAsia="zh-CN" w:bidi="en-US"/>
        </w:rPr>
        <w:t>认定单位：巴州国土资源局库尔勒上库综合产业园区分局</w:t>
      </w:r>
    </w:p>
    <w:p>
      <w:pPr>
        <w:spacing w:line="600" w:lineRule="exact"/>
        <w:ind w:left="1644" w:leftChars="685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评审会议日期：2022年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  <w:lang w:eastAsia="zh-CN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  <w:lang w:eastAsia="zh-CN"/>
        </w:rPr>
        <w:t>日</w:t>
      </w:r>
    </w:p>
    <w:p>
      <w:pPr>
        <w:ind w:left="1644" w:leftChars="685"/>
        <w:rPr>
          <w:rFonts w:ascii="仿宋_GB2312" w:eastAsia="仿宋_GB2312"/>
          <w:sz w:val="30"/>
          <w:szCs w:val="30"/>
          <w:lang w:eastAsia="zh-CN"/>
        </w:rPr>
      </w:pPr>
    </w:p>
    <w:p>
      <w:pPr>
        <w:rPr>
          <w:rFonts w:ascii="仿宋_GB2312" w:eastAsia="仿宋_GB2312"/>
          <w:sz w:val="32"/>
          <w:lang w:eastAsia="zh-CN"/>
        </w:rPr>
      </w:pPr>
    </w:p>
    <w:p>
      <w:pPr>
        <w:ind w:firstLine="640" w:firstLineChars="200"/>
        <w:rPr>
          <w:rFonts w:ascii="仿宋_GB2312" w:eastAsia="仿宋_GB2312"/>
          <w:sz w:val="32"/>
          <w:lang w:eastAsia="zh-CN"/>
        </w:rPr>
      </w:pPr>
    </w:p>
    <w:p>
      <w:pPr>
        <w:widowControl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/>
          <w:b/>
          <w:bCs/>
          <w:sz w:val="32"/>
          <w:szCs w:val="32"/>
          <w:lang w:eastAsia="zh-CN"/>
        </w:rPr>
        <w:br w:type="page"/>
      </w:r>
    </w:p>
    <w:p>
      <w:pPr>
        <w:spacing w:line="360" w:lineRule="auto"/>
        <w:jc w:val="center"/>
        <w:outlineLvl w:val="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库尔勒市桐洹建筑材料有限公司库尔勒市库尔楚北3号建筑用砂矿矿产资源开发利用与生态保护修复方案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>》</w:t>
      </w:r>
      <w:bookmarkEnd w:id="0"/>
      <w:bookmarkStart w:id="1" w:name="bookmark3"/>
      <w:bookmarkStart w:id="2" w:name="bookmark0"/>
      <w:bookmarkStart w:id="3" w:name="bookmark1"/>
      <w:r>
        <w:rPr>
          <w:rFonts w:hint="eastAsia" w:ascii="宋体" w:hAnsi="宋体"/>
          <w:b/>
          <w:sz w:val="32"/>
          <w:szCs w:val="32"/>
          <w:lang w:eastAsia="zh-CN"/>
        </w:rPr>
        <w:t>专家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>审查意见</w:t>
      </w:r>
      <w:bookmarkEnd w:id="1"/>
      <w:bookmarkEnd w:id="2"/>
      <w:bookmarkEnd w:id="3"/>
    </w:p>
    <w:p>
      <w:pPr>
        <w:pStyle w:val="18"/>
        <w:spacing w:line="360" w:lineRule="auto"/>
        <w:ind w:firstLine="361" w:firstLineChars="200"/>
        <w:jc w:val="both"/>
        <w:rPr>
          <w:sz w:val="18"/>
          <w:szCs w:val="18"/>
          <w:lang w:eastAsia="zh-CN"/>
        </w:rPr>
      </w:pPr>
      <w:bookmarkStart w:id="4" w:name="bookmark4"/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</w:t>
      </w:r>
      <w:bookmarkEnd w:id="4"/>
      <w:r>
        <w:rPr>
          <w:rFonts w:hint="eastAsia"/>
          <w:sz w:val="28"/>
          <w:szCs w:val="28"/>
          <w:lang w:eastAsia="zh-CN"/>
        </w:rPr>
        <w:t>、项目概况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cs="宋体"/>
          <w:sz w:val="28"/>
          <w:szCs w:val="28"/>
          <w:lang w:eastAsia="zh-CN"/>
        </w:rPr>
        <w:t>库尔勒市桐洹建筑材料有限公司库尔勒市库尔楚北3号建筑用砂矿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矿产资源开发利用与生态保护修复方案》由</w:t>
      </w:r>
      <w:r>
        <w:rPr>
          <w:rFonts w:hint="eastAsia" w:cs="宋体"/>
          <w:sz w:val="28"/>
          <w:szCs w:val="28"/>
          <w:lang w:eastAsia="zh-CN"/>
        </w:rPr>
        <w:t>库尔勒市桐洹建筑材料有限公司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委托新疆地矿局第三地质大队编制完成。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en-US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en-US"/>
        </w:rPr>
        <w:t>“新疆库尔勒市库尔楚北3号建筑用砂矿”位于库尔勒市北西290°方向，距库尔勒市区直线距离60千米，属库尔勒市管辖。矿区中心地理坐标：东经85°26′14″，北纬41°57′</w:t>
      </w:r>
      <w:r>
        <w:rPr>
          <w:rFonts w:hint="default" w:ascii="宋体" w:hAnsi="宋体" w:eastAsia="宋体" w:cs="宋体"/>
          <w:color w:val="000000"/>
          <w:sz w:val="28"/>
          <w:szCs w:val="28"/>
          <w:lang w:val="zh-CN" w:eastAsia="zh-CN" w:bidi="en-US"/>
        </w:rPr>
        <w:t>11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en-US"/>
        </w:rPr>
        <w:t>″。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en-US"/>
        </w:rPr>
        <w:t>矿区距库尔勒市区直线距离60千米，库尔勒一喀什的公路由矿区南侧通过，交通条件较方便，矿区到库尔勒市区道路里程65千米。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该矿山开采矿种为建设用砂石料矿，采用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露天-凹陷式开采方式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，规划生产规模</w:t>
      </w:r>
      <w:r>
        <w:rPr>
          <w:rFonts w:hint="eastAsia" w:cs="宋体"/>
          <w:sz w:val="28"/>
          <w:szCs w:val="28"/>
          <w:lang w:val="en-US" w:eastAsia="zh-CN"/>
        </w:rPr>
        <w:t>7万立方米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/年，开采标高为</w:t>
      </w:r>
      <w:r>
        <w:rPr>
          <w:rFonts w:hint="eastAsia" w:cs="宋体"/>
          <w:sz w:val="28"/>
          <w:szCs w:val="28"/>
          <w:lang w:val="en-US" w:eastAsia="zh-CN"/>
        </w:rPr>
        <w:t>917-885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米，矿山设计服务年限</w:t>
      </w:r>
      <w:r>
        <w:rPr>
          <w:rFonts w:hint="eastAsia" w:cs="宋体"/>
          <w:sz w:val="28"/>
          <w:szCs w:val="28"/>
          <w:lang w:val="en-US" w:eastAsia="zh-CN"/>
        </w:rPr>
        <w:t>5.8年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，砂石料总量（TD）</w:t>
      </w:r>
      <w:r>
        <w:rPr>
          <w:rFonts w:hint="eastAsia" w:cs="宋体"/>
          <w:sz w:val="28"/>
          <w:szCs w:val="28"/>
          <w:lang w:eastAsia="zh-CN"/>
        </w:rPr>
        <w:t>42.79万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立方米。</w:t>
      </w:r>
    </w:p>
    <w:p>
      <w:pPr>
        <w:adjustRightInd w:val="0"/>
        <w:snapToGrid w:val="0"/>
        <w:spacing w:before="120" w:beforeLines="50"/>
        <w:jc w:val="center"/>
        <w:rPr>
          <w:rFonts w:hint="eastAsia" w:ascii="宋体" w:hAnsi="宋体" w:eastAsia="宋体" w:cs="宋体"/>
          <w:b/>
          <w:szCs w:val="28"/>
        </w:rPr>
      </w:pPr>
      <w:r>
        <w:rPr>
          <w:rFonts w:hint="eastAsia" w:ascii="宋体" w:hAnsi="宋体" w:eastAsia="宋体" w:cs="宋体"/>
          <w:b/>
          <w:szCs w:val="28"/>
        </w:rPr>
        <w:t>矿区拐点坐标一览表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784"/>
        <w:gridCol w:w="1922"/>
        <w:gridCol w:w="2261"/>
        <w:gridCol w:w="2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拐点编号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北纬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J1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4647813.659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29370364.574 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85°26＇11.1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＂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41°57＇17.75＂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J2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4647626.039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29370752.790 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85°26＇28.1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＂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41°57＇11.90＂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J3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4647134.881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29370578.875 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85°26＇21.01＂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41°56＇55.8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J4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4647405.000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29370124.802 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85°26＇01.09＂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  <w:t>41°57＇04.37＂</w:t>
            </w:r>
          </w:p>
        </w:tc>
      </w:tr>
    </w:tbl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依据</w:t>
      </w:r>
      <w:r>
        <w:rPr>
          <w:rFonts w:hint="eastAsia" w:cs="宋体"/>
          <w:sz w:val="28"/>
          <w:szCs w:val="28"/>
          <w:highlight w:val="none"/>
          <w:lang w:eastAsia="zh-CN"/>
        </w:rPr>
        <w:t>库尔勒市自然资源局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出具的《矿区土地利用现状证明》以及《土地利用现状分类》（GB/T21010－2017），矿区布局所占用土地类型为裸地，土地权属为国有。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本次调查工作完成调查区面积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25.68公顷，其中重点调查区13.53公顷，一般调查区面积12.15公顷。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本次调查路线1条，长2810米，完成调查点23个,拍摄照片10张，公众参与调查表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二、提交审查的成果资料：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 w:bidi="ar-SA"/>
        </w:rPr>
        <w:t>（一）</w:t>
      </w:r>
      <w:bookmarkStart w:id="5" w:name="_Hlk82255059"/>
      <w:r>
        <w:rPr>
          <w:rFonts w:hint="eastAsia" w:ascii="宋体" w:hAnsi="宋体" w:eastAsia="宋体" w:cs="宋体"/>
          <w:kern w:val="2"/>
          <w:sz w:val="28"/>
          <w:szCs w:val="28"/>
          <w:lang w:eastAsia="zh-CN" w:bidi="ar-SA"/>
        </w:rPr>
        <w:t>《方案》</w:t>
      </w:r>
      <w:bookmarkEnd w:id="5"/>
      <w:r>
        <w:rPr>
          <w:rFonts w:hint="eastAsia" w:ascii="宋体" w:hAnsi="宋体" w:eastAsia="宋体" w:cs="宋体"/>
          <w:kern w:val="2"/>
          <w:sz w:val="28"/>
          <w:szCs w:val="28"/>
          <w:lang w:eastAsia="zh-CN" w:bidi="ar-SA"/>
        </w:rPr>
        <w:t>正文。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 w:bidi="ar-SA"/>
        </w:rPr>
        <w:t>（二）附图：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 w:bidi="ar-SA"/>
        </w:rPr>
        <w:t>1. 露天开采最终境界及矿区总平面图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 w:bidi="ar-SA"/>
        </w:rPr>
        <w:t>（</w:t>
      </w:r>
      <w:r>
        <w:rPr>
          <w:rFonts w:hint="eastAsia" w:cs="宋体"/>
          <w:b w:val="0"/>
          <w:bCs w:val="0"/>
          <w:kern w:val="2"/>
          <w:sz w:val="28"/>
          <w:szCs w:val="28"/>
          <w:lang w:eastAsia="zh-CN" w:bidi="ar-SA"/>
        </w:rPr>
        <w:t>1:1000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 w:bidi="ar-SA"/>
        </w:rPr>
        <w:t>）；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 w:bidi="ar-SA"/>
        </w:rPr>
        <w:t>2. 露天开采最终境界勘查线剖面图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b w:val="0"/>
          <w:bCs w:val="0"/>
          <w:kern w:val="2"/>
          <w:sz w:val="28"/>
          <w:szCs w:val="28"/>
          <w:lang w:eastAsia="zh-CN" w:bidi="ar-SA"/>
        </w:rPr>
        <w:t>3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.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b w:val="0"/>
          <w:bCs w:val="0"/>
          <w:kern w:val="2"/>
          <w:sz w:val="28"/>
          <w:szCs w:val="28"/>
          <w:lang w:eastAsia="zh-CN" w:bidi="ar-SA"/>
        </w:rPr>
        <w:t>采矿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工艺</w:t>
      </w:r>
      <w:r>
        <w:rPr>
          <w:b w:val="0"/>
          <w:bCs w:val="0"/>
          <w:kern w:val="2"/>
          <w:sz w:val="28"/>
          <w:szCs w:val="28"/>
          <w:lang w:eastAsia="zh-CN" w:bidi="ar-SA"/>
        </w:rPr>
        <w:t>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（1:100）；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>4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.</w:t>
      </w:r>
      <w:r>
        <w:rPr>
          <w:b w:val="0"/>
          <w:bCs w:val="0"/>
          <w:kern w:val="2"/>
          <w:sz w:val="28"/>
          <w:szCs w:val="28"/>
          <w:lang w:eastAsia="zh-CN" w:bidi="ar-SA"/>
        </w:rPr>
        <w:t xml:space="preserve"> 地质环境问题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影响</w:t>
      </w:r>
      <w:r>
        <w:rPr>
          <w:b w:val="0"/>
          <w:bCs w:val="0"/>
          <w:kern w:val="2"/>
          <w:sz w:val="28"/>
          <w:szCs w:val="28"/>
          <w:lang w:eastAsia="zh-CN" w:bidi="ar-SA"/>
        </w:rPr>
        <w:t>现状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评估</w:t>
      </w:r>
      <w:r>
        <w:rPr>
          <w:b w:val="0"/>
          <w:bCs w:val="0"/>
          <w:kern w:val="2"/>
          <w:sz w:val="28"/>
          <w:szCs w:val="28"/>
          <w:lang w:eastAsia="zh-CN" w:bidi="ar-SA"/>
        </w:rPr>
        <w:t>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 xml:space="preserve">. </w:t>
      </w:r>
      <w:r>
        <w:rPr>
          <w:b w:val="0"/>
          <w:bCs w:val="0"/>
          <w:kern w:val="2"/>
          <w:sz w:val="28"/>
          <w:szCs w:val="28"/>
          <w:lang w:eastAsia="zh-CN" w:bidi="ar-SA"/>
        </w:rPr>
        <w:t>土地利用现状图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>6</w:t>
      </w:r>
      <w:r>
        <w:rPr>
          <w:b w:val="0"/>
          <w:bCs w:val="0"/>
          <w:kern w:val="2"/>
          <w:sz w:val="28"/>
          <w:szCs w:val="28"/>
          <w:lang w:eastAsia="zh-CN" w:bidi="ar-SA"/>
        </w:rPr>
        <w:t>.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 xml:space="preserve"> </w:t>
      </w:r>
      <w:r>
        <w:rPr>
          <w:b w:val="0"/>
          <w:bCs w:val="0"/>
          <w:kern w:val="2"/>
          <w:sz w:val="28"/>
          <w:szCs w:val="28"/>
          <w:lang w:eastAsia="zh-CN" w:bidi="ar-SA"/>
        </w:rPr>
        <w:t>地质环境问题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与</w:t>
      </w:r>
      <w:r>
        <w:rPr>
          <w:b w:val="0"/>
          <w:bCs w:val="0"/>
          <w:kern w:val="2"/>
          <w:sz w:val="28"/>
          <w:szCs w:val="28"/>
          <w:lang w:eastAsia="zh-CN" w:bidi="ar-SA"/>
        </w:rPr>
        <w:t>土地损毁预测图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>7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 xml:space="preserve">. </w:t>
      </w:r>
      <w:r>
        <w:rPr>
          <w:b w:val="0"/>
          <w:bCs w:val="0"/>
          <w:kern w:val="2"/>
          <w:sz w:val="28"/>
          <w:szCs w:val="28"/>
          <w:lang w:eastAsia="zh-CN" w:bidi="ar-SA"/>
        </w:rPr>
        <w:t>土地复垦规划图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>8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 xml:space="preserve">. </w:t>
      </w:r>
      <w:r>
        <w:rPr>
          <w:b w:val="0"/>
          <w:bCs w:val="0"/>
          <w:kern w:val="2"/>
          <w:sz w:val="28"/>
          <w:szCs w:val="28"/>
          <w:lang w:eastAsia="zh-CN" w:bidi="ar-SA"/>
        </w:rPr>
        <w:t>地质环境治理工程部署图</w:t>
      </w:r>
      <w:r>
        <w:rPr>
          <w:rFonts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</w:t>
      </w:r>
      <w:r>
        <w:rPr>
          <w:rFonts w:hint="eastAsia"/>
          <w:b w:val="0"/>
          <w:bCs w:val="0"/>
          <w:kern w:val="2"/>
          <w:sz w:val="28"/>
          <w:szCs w:val="28"/>
          <w:lang w:eastAsia="zh-CN" w:bidi="ar-SA"/>
        </w:rPr>
        <w:t>（1:1000）。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宋体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 w:bidi="ar-SA"/>
        </w:rPr>
        <w:t>（三）附件一册。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sz w:val="28"/>
          <w:szCs w:val="28"/>
          <w:lang w:eastAsia="zh-CN"/>
        </w:rPr>
      </w:pPr>
      <w:bookmarkStart w:id="6" w:name="bookmark24"/>
      <w:r>
        <w:rPr>
          <w:rFonts w:hint="eastAsia"/>
          <w:sz w:val="28"/>
          <w:szCs w:val="28"/>
          <w:lang w:eastAsia="zh-CN"/>
        </w:rPr>
        <w:t>三、主要成绩与优点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仿宋_GB2312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sz w:val="28"/>
          <w:szCs w:val="28"/>
          <w:lang w:eastAsia="zh-CN" w:bidi="ar-SA"/>
        </w:rPr>
        <w:t>（一）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 w:eastAsia="zh-CN"/>
        </w:rPr>
        <w:t>矿产资源开发利用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矿山</w:t>
      </w:r>
      <w:r>
        <w:rPr>
          <w:rFonts w:hint="eastAsia" w:ascii="宋体" w:hAnsi="宋体" w:eastAsia="宋体" w:cs="宋体"/>
          <w:sz w:val="28"/>
          <w:szCs w:val="28"/>
        </w:rPr>
        <w:t>资源储量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根据《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库尔勒市库尔楚北3号建筑用砂矿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普查报告》及专家评审意见，经本次工作，</w:t>
      </w:r>
      <w:r>
        <w:rPr>
          <w:rFonts w:hint="eastAsia" w:ascii="宋体" w:hAnsi="宋体" w:eastAsia="宋体" w:cs="宋体"/>
          <w:sz w:val="28"/>
          <w:szCs w:val="28"/>
        </w:rPr>
        <w:t>截止20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日，对矿区范围所圈定的矿体进行了资源量估算，在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开采标高917～885米范围内，扣除压覆边坡后，推断资源量为42.79万立方米，松散矿石量53.06万立方米（松散系数1.24）。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en-US" w:bidi="en-US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、矿体裸露地表，开采技术条件较好，适宜露天开采。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en-US" w:bidi="en-US"/>
        </w:rPr>
        <w:t>全矿剥采比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 w:bidi="en-US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en-US" w:bidi="en-US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 w:bidi="en-US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en-US" w:bidi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、《方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案》根据矿体赋存特征及开采技术条件，采用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露天-凹陷式开采方式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、主要建设方案：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1）设计矿山生产规模为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建筑用砂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矿原矿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7万立方米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）开采方式：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露天-凹陷式开采方式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）开拓运输方案：公路开拓、汽车运输方案；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）采矿方法：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单台阶</w:t>
      </w:r>
      <w:r>
        <w:rPr>
          <w:rFonts w:hint="eastAsia" w:ascii="宋体" w:hAnsi="宋体" w:eastAsia="宋体" w:cs="宋体"/>
          <w:sz w:val="28"/>
          <w:szCs w:val="28"/>
        </w:rPr>
        <w:t>凹进式开采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，挖掘机、装载机联合开采。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）露天开采最终境界：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开采最高标高：917米。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底部最低标高：885米。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最终台阶高度：4米。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底部最小宽度：大于等于20米。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最终边坡角：45°。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）设计损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失率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%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采矿回采率9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）开采境界内资源储量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42.79万立方米。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）矿山工作制度：年工作2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0天，日工作1班，每班8小时。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）设计矿山服务年限：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5.8年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）开采工艺流程为：矿体呈近水平层状产出，适宜露天开采。直接用挖掘机配装载机采装进行挖运即可。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）生产工艺：采挖砂石原矿松散状态易分离，选用40*40mm的网格筛采用重力筛选方式分离出粒径＞40mm的粒级及≤40mm粒级。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）投资估算：该矿为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新建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矿山，项目建设投资为182.79万元，其中矿建投资166.17万元，流动资金为16.62万元。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)经济评价：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①矿产品价格：成品砂石料市场均价为0.1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～5.00毫米砂价格一般为50元/立方米，5.00～20毫米卵石价格一般为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元/立方米，20～40毫米卵石价格一般为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②销售收入：336.87万元。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③上缴所得税：59.74万元。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④税后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利润：53.42万元。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⑤静态投资回收期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仿宋_GB2312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sz w:val="28"/>
          <w:szCs w:val="28"/>
          <w:lang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 w:eastAsia="zh-CN"/>
        </w:rPr>
        <w:t>地质环境治理和土地复垦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</w:pPr>
      <w:r>
        <w:rPr>
          <w:rFonts w:hint="eastAsia" w:ascii="宋体" w:hAnsi="宋体" w:eastAsia="宋体" w:cs="仿宋_GB2312"/>
          <w:sz w:val="28"/>
          <w:szCs w:val="28"/>
          <w:highlight w:val="none"/>
          <w:lang w:eastAsia="zh-CN" w:bidi="ar-SA"/>
        </w:rPr>
        <w:t>现状条件下评估区内无地质灾害，崩塌隐患不发育；滑坡、泥石流、地面塌陷、地裂缝、地面沉降地质灾害发育程度弱，危害程度小，危险性小；对含水层破坏程度较轻；对地形地貌景观影响和破坏程度较轻；对水土环境污染程度较轻，对大气污染程度较轻。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  <w:t>预测评估露天采矿场遭受崩塌地质灾害的可能性中等，危害程度中等，危险性中等；不易引发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val="en-US" w:eastAsia="zh-CN" w:bidi="ar-SA"/>
        </w:rPr>
        <w:t>滑坡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  <w:t>、泥石流、地面塌陷、地面沉降、地裂缝等地质灾害。矿山开采对含水层破坏程度较轻；预测采矿场对地形地貌景观影响和破坏程度严重，废石堆放场、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val="en-US" w:eastAsia="zh-CN" w:bidi="ar-SA"/>
        </w:rPr>
        <w:t>工业广场、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  <w:t>生活区及矿区道路对地形地貌景观影响和破坏程度较严重，其他设施场地对地形地貌景观影响和破坏程度较轻；对水土环境污染程度较轻，对大气污染程度较轻。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 w:cs="仿宋_GB2312"/>
          <w:color w:val="auto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  <w:t>划分了矿山地质环境保护与治理恢复重点区、次重点区和一般区。其中规划采露天采矿场为重点区，面积11.08公顷，生活办公区、工业广场、废石堆放场和矿山道路区域为次重点防治区，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val="en-US" w:eastAsia="zh-CN" w:bidi="ar-SA"/>
        </w:rPr>
        <w:t>面积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2.45公顷</w:t>
      </w:r>
      <w:r>
        <w:rPr>
          <w:rFonts w:hint="eastAsia" w:ascii="宋体" w:hAnsi="宋体" w:eastAsia="宋体" w:cs="仿宋_GB2312"/>
          <w:color w:val="auto"/>
          <w:sz w:val="28"/>
          <w:szCs w:val="28"/>
          <w:highlight w:val="none"/>
          <w:lang w:eastAsia="zh-CN" w:bidi="ar-SA"/>
        </w:rPr>
        <w:t>，其他区域为一般防治区，面积12.15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预测本矿山破坏土地总面积为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13.53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公顷，计划进行复垦面积为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13.53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公顷，土地复垦率为100％。土地复垦方向为尽量恢复原有地貌景观或与周边地形地貌相协调，复垦方向为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裸石砾地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分别针对崩塌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等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地质灾害和地形地貌景观采取相对应的保护与防治措施；对崩塌灾害采取设置围栏、警示牌及清理危岩等治理措施，对采矿场进行回填等复垦措施；建立矿山地质环境监测系统，开展地质灾害、地形地貌景观以及土地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损毁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监测。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方案服务年限内，矿山服务年限内，矿山地质环境治理工程总费用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13.90万元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，土地复垦工程总费用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136.09万元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，矿山地质环境治理工程和土地复垦工程静态总投资为149.99万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元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。其中工程施工费为117.58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万元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，监测费为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8.25万元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，其他费用为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17.02万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元，预备费为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 w:bidi="ar-SA"/>
        </w:rPr>
        <w:t>7.14万</w:t>
      </w:r>
      <w:r>
        <w:rPr>
          <w:rFonts w:hint="eastAsia" w:ascii="宋体" w:hAnsi="宋体" w:eastAsia="宋体" w:cs="仿宋_GB2312"/>
          <w:color w:val="auto"/>
          <w:sz w:val="28"/>
          <w:szCs w:val="28"/>
          <w:lang w:eastAsia="zh-CN" w:bidi="ar-SA"/>
        </w:rPr>
        <w:t>元。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存在问题及建议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rFonts w:hint="default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  <w:t>（一）地环部分意见</w:t>
      </w:r>
    </w:p>
    <w:bookmarkEnd w:id="6"/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方案目录简化至二级目录即可，任务由来内容放在最前面，不应涵盖在编制目的中；编制目的中补充为自然资源管理部门监督、检查和督促矿山企业落实矿山地质环境保护、土地复垦及水土污染与大气污染防治责任与义务的重要依据的内容；补充编制任务。方案适用年限应根据实际送审时间进行调整；项目组主要人员分工表与信息表内成员不一致；工作方法中出现“中交路桥建设有限公司”应核实；图0-1工作程序框图应与规范中保持一致；文中出现“焉耆县自然资源局”应核实；野外调查中利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en-US" w:bidi="en-US"/>
        </w:rPr>
        <w:t>Google卫星地图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说法不妥，改为高清影像地图；表0-3生态功能区划分有误；野外调查范围中一般调查区包含历史采坑为蓄水防洪工程，前文说明该采坑要纳入地质环境治理工程，相互矛盾应核实。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第一章交通位置图裁图范围过大，需要反应文字中反应的位置和交通情况，补充矿区范围示意图，图1-2中采空区标注不准确。地形地貌中缺少对已有采坑的描述；地层岩性中对于深度未知、水位未知等论述不合适，核实地层时代及成因；图1-5看不清，需要调整；地震内容应并入地质构造部分；水文地质内容应当论述地下水内容，包含地下水类型、补径排条件等；工程地质中将土体论述为岩组有误，结构松散论述不妥，对该土体工程地质论述内容不够，缺少级配、承载力特征值等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第四章矿山地质环境治理中；地质灾害防治中论述主要地质灾害为崩塌，但第三章论述崩塌灾害危险性均为小，存在矛盾，应核实；地形地貌景观监测不应设置监测点，按次进行全区域监测即可。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rFonts w:hint="default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  <w:t>（二）开发部分意见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1）最终境界图绘制错误，采场边坡绘制错误，采场道路坡度与采场地形矛盾，回采的采场境界与周边地形标高矛盾。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2）矿区开采范围内，地形坡度较大，按自然地形形成采场最终境界底部坡度较大，开采设备，运输设备在坡面上作业存在风险，应说明开采作业平台的坡度要求。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3）凹陷采场无法自流排水，防治水方案中应说明机械排水的设备。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4）采场剖面图中，采场最终境界台阶坡面角绘制错误。采场最终境界边坡角45°计算错误。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5）筛分工艺中，缺少供水设施和设备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6）供电变压器2500kva容量明显过大，超过企业用电负荷需要。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7）编制依据中的《采矿设计手册》不属于规范规程，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《工业企业总平面设计规范》（GB50187～1993）,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《金属非金属矿山安全规程》（GB16423～2006）等版本日期错误。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rFonts w:hint="default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auto"/>
          <w:sz w:val="28"/>
          <w:szCs w:val="28"/>
          <w:lang w:val="en-US" w:eastAsia="zh-CN" w:bidi="ar-SA"/>
        </w:rPr>
        <w:t>（三）复垦部分意见</w:t>
      </w:r>
    </w:p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1）矿产资源开发利用章节补充固体废弃物排放处置内容，明确各年度产生废石量、废石总量以及堆存参数（如：堆高、边坡坡度等），并列表说明；补充说明生活垃圾处置情况；</w:t>
      </w:r>
    </w:p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2）拟损毁土地预测介绍不清晰，结合各工程损毁土地特点，补充说明各工程最终形态参数（如：建筑物类型及建筑面积、地面硬化厚度及面积、采场闭坑后形成的负地形凹陷区域体积等）；</w:t>
      </w:r>
    </w:p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3）土地复垦质量要求章节部分工程复垦标准制定不合理，露天采场应明确复垦后形态参数（如：废石回填采坑后坑底标高、复垦后采坑边坡角度等）；生活区垃圾至指定垃圾填埋场，须明确垃圾填埋场位置，依据环保要求，矿山不允许建设垃圾填埋场；废石场“最大堆放高度不超过3米，堆放边坡不大于45°”不是复垦标准；须认真核实复垦标准合理性；</w:t>
      </w:r>
    </w:p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4）复垦设计章节建议按照各工程分别进行复垦设计，并明确设计参数，废石内排工程量，不应计入本方案，只有废石堆放场堆放废石回填采坑工程量计入本方案计算；P34叙述“生活区建筑物面积约100平方米”，在P56拟损毁土地预测未介绍任何参数，P80叙述“拆除范围包括生活区的地面建筑及地表硬化层，拆除面积1500平方米”，数据缺乏依据，且不清楚计算过程；各工程复垦叙述“每平方米拆除地表建筑垃圾0.5立方米计算”，须补充说明确定的依据；核实“废石回填采场运距200-300米”准确性；补充露天采场复垦设计剖面图；各工程复垦设计与前文章节说法不一致，且与复垦标准矛盾，须认真核实复垦措施合理性和工程量计算准确性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五、审查结论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告章节安排基本合理，内容基本齐全，基本符合新自然资规〔2021〕3号文《关于进一步推进和完善矿产资源管理有关工作的通知》及原国土资源部国土资规〔2016〕21号文、新国土资规〔2018〕1号文的相关要求。报告分析论证有据，结论正确，措施可行，可作为该矿矿产资源开发利用与生态保护修复的依据，同意审查通过。</w:t>
      </w:r>
    </w:p>
    <w:p>
      <w:pPr>
        <w:pStyle w:val="18"/>
        <w:spacing w:line="500" w:lineRule="exact"/>
        <w:ind w:firstLine="6626" w:firstLineChars="2200"/>
        <w:jc w:val="both"/>
        <w:rPr>
          <w:rFonts w:hint="eastAsia"/>
          <w:sz w:val="28"/>
          <w:szCs w:val="28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159385</wp:posOffset>
            </wp:positionV>
            <wp:extent cx="1151255" cy="651510"/>
            <wp:effectExtent l="0" t="0" r="0" b="0"/>
            <wp:wrapTight wrapText="bothSides">
              <wp:wrapPolygon>
                <wp:start x="0" y="0"/>
                <wp:lineTo x="0" y="21221"/>
                <wp:lineTo x="21445" y="21221"/>
                <wp:lineTo x="2144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24154" r="27771" b="9166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8"/>
        <w:spacing w:line="500" w:lineRule="exact"/>
        <w:ind w:firstLine="4854" w:firstLineChars="1727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评审专家组长：</w:t>
      </w:r>
    </w:p>
    <w:p>
      <w:pPr>
        <w:pStyle w:val="20"/>
        <w:spacing w:after="40" w:line="500" w:lineRule="exact"/>
        <w:ind w:firstLine="0"/>
        <w:jc w:val="right"/>
        <w:rPr>
          <w:sz w:val="28"/>
          <w:szCs w:val="28"/>
          <w:lang w:eastAsia="zh-CN"/>
        </w:rPr>
      </w:pPr>
    </w:p>
    <w:p>
      <w:pPr>
        <w:jc w:val="center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</w:t>
      </w:r>
      <w:r>
        <w:rPr>
          <w:rFonts w:hint="eastAsia"/>
          <w:b/>
          <w:bCs/>
          <w:sz w:val="28"/>
          <w:szCs w:val="28"/>
          <w:lang w:eastAsia="zh-CN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17</w:t>
      </w:r>
      <w:r>
        <w:rPr>
          <w:rFonts w:hint="eastAsia"/>
          <w:b/>
          <w:bCs/>
          <w:sz w:val="28"/>
          <w:szCs w:val="28"/>
          <w:lang w:eastAsia="zh-CN"/>
        </w:rPr>
        <w:t>日</w:t>
      </w:r>
    </w:p>
    <w:sectPr>
      <w:footerReference r:id="rId5" w:type="default"/>
      <w:pgSz w:w="11900" w:h="16840"/>
      <w:pgMar w:top="1440" w:right="1134" w:bottom="1440" w:left="1134" w:header="964" w:footer="96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485007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6E684"/>
    <w:multiLevelType w:val="singleLevel"/>
    <w:tmpl w:val="E9A6E68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4EF5D9"/>
    <w:multiLevelType w:val="singleLevel"/>
    <w:tmpl w:val="314EF5D9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ZDQxNjg2NWQzOWI3OGE0NWY4MWRkNWFjNmI3ZGY3ZGMifQ=="/>
    <w:docVar w:name="KSO_WPS_MARK_KEY" w:val="51eb7f18-8599-4891-9c50-a79eda552dec"/>
  </w:docVars>
  <w:rsids>
    <w:rsidRoot w:val="000D55E0"/>
    <w:rsid w:val="00017133"/>
    <w:rsid w:val="00036395"/>
    <w:rsid w:val="000405A0"/>
    <w:rsid w:val="0008114E"/>
    <w:rsid w:val="000A4A63"/>
    <w:rsid w:val="000D55E0"/>
    <w:rsid w:val="00136118"/>
    <w:rsid w:val="00136A08"/>
    <w:rsid w:val="0015228B"/>
    <w:rsid w:val="00167961"/>
    <w:rsid w:val="001C07BA"/>
    <w:rsid w:val="001E7E66"/>
    <w:rsid w:val="002201BE"/>
    <w:rsid w:val="00221E07"/>
    <w:rsid w:val="002966A0"/>
    <w:rsid w:val="002E5AD1"/>
    <w:rsid w:val="00316453"/>
    <w:rsid w:val="00333943"/>
    <w:rsid w:val="00336737"/>
    <w:rsid w:val="00381023"/>
    <w:rsid w:val="003C3BF5"/>
    <w:rsid w:val="004202A9"/>
    <w:rsid w:val="00450995"/>
    <w:rsid w:val="00461862"/>
    <w:rsid w:val="004758A9"/>
    <w:rsid w:val="0048282F"/>
    <w:rsid w:val="004A4D07"/>
    <w:rsid w:val="004B3B70"/>
    <w:rsid w:val="004C480A"/>
    <w:rsid w:val="004F5091"/>
    <w:rsid w:val="00595506"/>
    <w:rsid w:val="005B33EB"/>
    <w:rsid w:val="005B4453"/>
    <w:rsid w:val="005C2147"/>
    <w:rsid w:val="006154F0"/>
    <w:rsid w:val="006220EA"/>
    <w:rsid w:val="00625DBD"/>
    <w:rsid w:val="00661A41"/>
    <w:rsid w:val="0066407D"/>
    <w:rsid w:val="006A06FC"/>
    <w:rsid w:val="00706F68"/>
    <w:rsid w:val="00735FC6"/>
    <w:rsid w:val="00764B78"/>
    <w:rsid w:val="00795BA8"/>
    <w:rsid w:val="007D2C8E"/>
    <w:rsid w:val="008005B2"/>
    <w:rsid w:val="0080324D"/>
    <w:rsid w:val="00832279"/>
    <w:rsid w:val="008D18AC"/>
    <w:rsid w:val="00923233"/>
    <w:rsid w:val="00953505"/>
    <w:rsid w:val="00A03353"/>
    <w:rsid w:val="00A07DA0"/>
    <w:rsid w:val="00B67129"/>
    <w:rsid w:val="00B70396"/>
    <w:rsid w:val="00B778F6"/>
    <w:rsid w:val="00BA6FE8"/>
    <w:rsid w:val="00BB2496"/>
    <w:rsid w:val="00BB6359"/>
    <w:rsid w:val="00BB6F51"/>
    <w:rsid w:val="00BF2521"/>
    <w:rsid w:val="00C76BE2"/>
    <w:rsid w:val="00C944C9"/>
    <w:rsid w:val="00CA5415"/>
    <w:rsid w:val="00CC390A"/>
    <w:rsid w:val="00D21D30"/>
    <w:rsid w:val="00D93FEB"/>
    <w:rsid w:val="00DC740F"/>
    <w:rsid w:val="00DC7F94"/>
    <w:rsid w:val="00DF5B8B"/>
    <w:rsid w:val="00E12A76"/>
    <w:rsid w:val="00E720C5"/>
    <w:rsid w:val="00E729D2"/>
    <w:rsid w:val="00EE2974"/>
    <w:rsid w:val="00F45643"/>
    <w:rsid w:val="00FD7ED5"/>
    <w:rsid w:val="028E2CE7"/>
    <w:rsid w:val="02C42AAA"/>
    <w:rsid w:val="02D702F3"/>
    <w:rsid w:val="05C3315A"/>
    <w:rsid w:val="05C77FC6"/>
    <w:rsid w:val="06B377D6"/>
    <w:rsid w:val="06D93994"/>
    <w:rsid w:val="074A5719"/>
    <w:rsid w:val="07E6135B"/>
    <w:rsid w:val="093B4F24"/>
    <w:rsid w:val="0AE6250F"/>
    <w:rsid w:val="0B077894"/>
    <w:rsid w:val="0BEF4CA9"/>
    <w:rsid w:val="0C2939BD"/>
    <w:rsid w:val="0C5A0B8A"/>
    <w:rsid w:val="0CFE7C2F"/>
    <w:rsid w:val="0FB63774"/>
    <w:rsid w:val="10246EEB"/>
    <w:rsid w:val="16F01850"/>
    <w:rsid w:val="1A295685"/>
    <w:rsid w:val="1B422EA2"/>
    <w:rsid w:val="1CB22960"/>
    <w:rsid w:val="1DCE078B"/>
    <w:rsid w:val="1F6372C0"/>
    <w:rsid w:val="22D20780"/>
    <w:rsid w:val="23583E1D"/>
    <w:rsid w:val="262624A4"/>
    <w:rsid w:val="26334A71"/>
    <w:rsid w:val="27566723"/>
    <w:rsid w:val="28F04E1F"/>
    <w:rsid w:val="29443602"/>
    <w:rsid w:val="29E256BB"/>
    <w:rsid w:val="2C027343"/>
    <w:rsid w:val="2FEF6776"/>
    <w:rsid w:val="30106700"/>
    <w:rsid w:val="3305425E"/>
    <w:rsid w:val="34CE1A14"/>
    <w:rsid w:val="35855245"/>
    <w:rsid w:val="35996214"/>
    <w:rsid w:val="359A67FC"/>
    <w:rsid w:val="375017D4"/>
    <w:rsid w:val="3B893D24"/>
    <w:rsid w:val="3C4803EE"/>
    <w:rsid w:val="3DBF00CF"/>
    <w:rsid w:val="4093779A"/>
    <w:rsid w:val="40C96B6F"/>
    <w:rsid w:val="40D542D2"/>
    <w:rsid w:val="413E71FC"/>
    <w:rsid w:val="420B2676"/>
    <w:rsid w:val="42EA7B00"/>
    <w:rsid w:val="42EA7E96"/>
    <w:rsid w:val="42F02AB8"/>
    <w:rsid w:val="43B12268"/>
    <w:rsid w:val="443D2BA6"/>
    <w:rsid w:val="444E5D09"/>
    <w:rsid w:val="467263F7"/>
    <w:rsid w:val="46A936CA"/>
    <w:rsid w:val="48DF2A67"/>
    <w:rsid w:val="49EC6171"/>
    <w:rsid w:val="4A605D3D"/>
    <w:rsid w:val="4ABB3662"/>
    <w:rsid w:val="507860D2"/>
    <w:rsid w:val="508E6FA2"/>
    <w:rsid w:val="50BA20AD"/>
    <w:rsid w:val="530370B5"/>
    <w:rsid w:val="53B4535C"/>
    <w:rsid w:val="56676BAC"/>
    <w:rsid w:val="582F1AA6"/>
    <w:rsid w:val="58405319"/>
    <w:rsid w:val="584114D5"/>
    <w:rsid w:val="587E1AEC"/>
    <w:rsid w:val="58C50581"/>
    <w:rsid w:val="59394C36"/>
    <w:rsid w:val="593E5662"/>
    <w:rsid w:val="5B0A6877"/>
    <w:rsid w:val="5B4C460E"/>
    <w:rsid w:val="607628A1"/>
    <w:rsid w:val="611B3D67"/>
    <w:rsid w:val="616C5E66"/>
    <w:rsid w:val="647E3182"/>
    <w:rsid w:val="64DE0C23"/>
    <w:rsid w:val="64F57D59"/>
    <w:rsid w:val="6751773B"/>
    <w:rsid w:val="67997F67"/>
    <w:rsid w:val="67D34300"/>
    <w:rsid w:val="682F3361"/>
    <w:rsid w:val="6C1224B5"/>
    <w:rsid w:val="6E331948"/>
    <w:rsid w:val="6EE35558"/>
    <w:rsid w:val="703F45D4"/>
    <w:rsid w:val="7209672D"/>
    <w:rsid w:val="721225F4"/>
    <w:rsid w:val="721A055A"/>
    <w:rsid w:val="722443FB"/>
    <w:rsid w:val="731F5122"/>
    <w:rsid w:val="75C86589"/>
    <w:rsid w:val="7A1F5658"/>
    <w:rsid w:val="7D8B70AB"/>
    <w:rsid w:val="7E6B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qFormat/>
    <w:uiPriority w:val="0"/>
    <w:pPr>
      <w:spacing w:after="120"/>
      <w:jc w:val="both"/>
    </w:pPr>
    <w:rPr>
      <w:rFonts w:ascii="Times New Roman" w:hAnsi="Times New Roman" w:eastAsia="宋体" w:cs="Times New Roman"/>
      <w:color w:val="auto"/>
      <w:kern w:val="2"/>
      <w:sz w:val="21"/>
      <w:lang w:eastAsia="zh-CN" w:bidi="ar-SA"/>
    </w:rPr>
  </w:style>
  <w:style w:type="paragraph" w:styleId="3">
    <w:name w:val="Document Map"/>
    <w:basedOn w:val="1"/>
    <w:link w:val="3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 Indent"/>
    <w:basedOn w:val="1"/>
    <w:next w:val="1"/>
    <w:qFormat/>
    <w:uiPriority w:val="0"/>
    <w:pPr>
      <w:widowControl w:val="0"/>
      <w:spacing w:after="0" w:line="500" w:lineRule="exact"/>
      <w:ind w:firstLine="42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5">
    <w:name w:val="Plain Text"/>
    <w:basedOn w:val="1"/>
    <w:link w:val="32"/>
    <w:qFormat/>
    <w:uiPriority w:val="0"/>
    <w:pPr>
      <w:jc w:val="both"/>
    </w:pPr>
    <w:rPr>
      <w:rFonts w:ascii="宋体" w:hAnsi="Courier New" w:eastAsia="宋体" w:cs="Courier New"/>
      <w:color w:val="auto"/>
      <w:kern w:val="2"/>
      <w:sz w:val="21"/>
      <w:szCs w:val="21"/>
      <w:lang w:eastAsia="zh-CN" w:bidi="ar-SA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Continue 4"/>
    <w:basedOn w:val="1"/>
    <w:next w:val="1"/>
    <w:qFormat/>
    <w:uiPriority w:val="0"/>
    <w:pPr>
      <w:widowControl w:val="0"/>
      <w:autoSpaceDE/>
      <w:autoSpaceDN/>
      <w:spacing w:before="0" w:after="120" w:line="360" w:lineRule="auto"/>
      <w:ind w:left="0" w:firstLine="480"/>
      <w:jc w:val="center"/>
    </w:pPr>
    <w:rPr>
      <w:rFonts w:ascii="宋体" w:hAnsi="宋体" w:eastAsia="宋体"/>
    </w:rPr>
  </w:style>
  <w:style w:type="paragraph" w:styleId="9">
    <w:name w:val="Body Text 2"/>
    <w:basedOn w:val="1"/>
    <w:qFormat/>
    <w:uiPriority w:val="0"/>
    <w:pPr>
      <w:widowControl w:val="0"/>
      <w:spacing w:after="120" w:line="480" w:lineRule="auto"/>
      <w:ind w:firstLine="0"/>
      <w:jc w:val="both"/>
    </w:pPr>
    <w:rPr>
      <w:sz w:val="20"/>
      <w:szCs w:val="24"/>
      <w:lang w:bidi="ar-SA"/>
    </w:rPr>
  </w:style>
  <w:style w:type="paragraph" w:styleId="10">
    <w:name w:val="Body Text First Indent 2"/>
    <w:basedOn w:val="4"/>
    <w:next w:val="8"/>
    <w:qFormat/>
    <w:uiPriority w:val="0"/>
    <w:pPr>
      <w:spacing w:after="120" w:line="360" w:lineRule="auto"/>
      <w:ind w:left="420" w:leftChars="2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！正文"/>
    <w:basedOn w:val="1"/>
    <w:qFormat/>
    <w:uiPriority w:val="0"/>
    <w:rPr>
      <w:kern w:val="0"/>
    </w:rPr>
  </w:style>
  <w:style w:type="character" w:customStyle="1" w:styleId="15">
    <w:name w:val="标题 #1_"/>
    <w:basedOn w:val="13"/>
    <w:link w:val="16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</w:rPr>
  </w:style>
  <w:style w:type="paragraph" w:customStyle="1" w:styleId="16">
    <w:name w:val="标题 #1"/>
    <w:basedOn w:val="1"/>
    <w:link w:val="15"/>
    <w:qFormat/>
    <w:uiPriority w:val="0"/>
    <w:pPr>
      <w:spacing w:after="80" w:line="552" w:lineRule="exact"/>
      <w:ind w:left="260"/>
      <w:outlineLvl w:val="0"/>
    </w:pPr>
    <w:rPr>
      <w:rFonts w:ascii="宋体" w:hAnsi="宋体" w:eastAsia="宋体" w:cs="宋体"/>
      <w:sz w:val="36"/>
      <w:szCs w:val="36"/>
    </w:rPr>
  </w:style>
  <w:style w:type="character" w:customStyle="1" w:styleId="17">
    <w:name w:val="正文文本 (2)_"/>
    <w:basedOn w:val="13"/>
    <w:link w:val="18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</w:rPr>
  </w:style>
  <w:style w:type="paragraph" w:customStyle="1" w:styleId="18">
    <w:name w:val="正文文本 (2)"/>
    <w:basedOn w:val="1"/>
    <w:link w:val="17"/>
    <w:qFormat/>
    <w:uiPriority w:val="0"/>
    <w:pPr>
      <w:spacing w:line="452" w:lineRule="exact"/>
      <w:ind w:firstLine="550"/>
    </w:pPr>
    <w:rPr>
      <w:rFonts w:ascii="宋体" w:hAnsi="宋体" w:eastAsia="宋体" w:cs="宋体"/>
      <w:b/>
      <w:bCs/>
      <w:sz w:val="30"/>
      <w:szCs w:val="30"/>
    </w:rPr>
  </w:style>
  <w:style w:type="character" w:customStyle="1" w:styleId="19">
    <w:name w:val="正文文本_"/>
    <w:basedOn w:val="13"/>
    <w:link w:val="20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20">
    <w:name w:val="正文文本1"/>
    <w:basedOn w:val="1"/>
    <w:link w:val="19"/>
    <w:qFormat/>
    <w:uiPriority w:val="0"/>
    <w:pPr>
      <w:spacing w:line="377" w:lineRule="auto"/>
      <w:ind w:firstLine="400"/>
    </w:pPr>
    <w:rPr>
      <w:rFonts w:ascii="宋体" w:hAnsi="宋体" w:eastAsia="宋体" w:cs="宋体"/>
      <w:sz w:val="26"/>
      <w:szCs w:val="26"/>
    </w:rPr>
  </w:style>
  <w:style w:type="character" w:customStyle="1" w:styleId="21">
    <w:name w:val="正文文本 (3)_"/>
    <w:basedOn w:val="13"/>
    <w:link w:val="22"/>
    <w:qFormat/>
    <w:uiPriority w:val="0"/>
    <w:rPr>
      <w:rFonts w:ascii="Arial" w:hAnsi="Arial" w:eastAsia="Arial" w:cs="Arial"/>
      <w:i/>
      <w:iCs/>
      <w:sz w:val="8"/>
      <w:szCs w:val="8"/>
      <w:u w:val="none"/>
      <w:shd w:val="clear" w:color="auto" w:fill="auto"/>
    </w:rPr>
  </w:style>
  <w:style w:type="paragraph" w:customStyle="1" w:styleId="22">
    <w:name w:val="正文文本 (3)"/>
    <w:basedOn w:val="1"/>
    <w:link w:val="21"/>
    <w:qFormat/>
    <w:uiPriority w:val="0"/>
    <w:pPr>
      <w:spacing w:after="100"/>
      <w:ind w:left="1080"/>
    </w:pPr>
    <w:rPr>
      <w:rFonts w:ascii="Arial" w:hAnsi="Arial" w:eastAsia="Arial" w:cs="Arial"/>
      <w:i/>
      <w:iCs/>
      <w:sz w:val="8"/>
      <w:szCs w:val="8"/>
    </w:rPr>
  </w:style>
  <w:style w:type="character" w:customStyle="1" w:styleId="23">
    <w:name w:val="表格标题_"/>
    <w:basedOn w:val="13"/>
    <w:link w:val="24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</w:rPr>
  </w:style>
  <w:style w:type="paragraph" w:customStyle="1" w:styleId="24">
    <w:name w:val="表格标题"/>
    <w:basedOn w:val="1"/>
    <w:link w:val="23"/>
    <w:qFormat/>
    <w:uiPriority w:val="0"/>
    <w:pPr>
      <w:spacing w:line="658" w:lineRule="exact"/>
      <w:jc w:val="center"/>
    </w:pPr>
    <w:rPr>
      <w:rFonts w:ascii="宋体" w:hAnsi="宋体" w:eastAsia="宋体" w:cs="宋体"/>
      <w:sz w:val="32"/>
      <w:szCs w:val="32"/>
    </w:rPr>
  </w:style>
  <w:style w:type="character" w:customStyle="1" w:styleId="25">
    <w:name w:val="其他_"/>
    <w:basedOn w:val="13"/>
    <w:link w:val="2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26">
    <w:name w:val="其他"/>
    <w:basedOn w:val="1"/>
    <w:link w:val="25"/>
    <w:qFormat/>
    <w:uiPriority w:val="0"/>
    <w:pPr>
      <w:spacing w:line="377" w:lineRule="auto"/>
      <w:ind w:firstLine="400"/>
    </w:pPr>
    <w:rPr>
      <w:rFonts w:ascii="宋体" w:hAnsi="宋体" w:eastAsia="宋体" w:cs="宋体"/>
      <w:sz w:val="26"/>
      <w:szCs w:val="26"/>
    </w:rPr>
  </w:style>
  <w:style w:type="character" w:customStyle="1" w:styleId="27">
    <w:name w:val="页眉 字符"/>
    <w:basedOn w:val="13"/>
    <w:link w:val="7"/>
    <w:qFormat/>
    <w:uiPriority w:val="99"/>
    <w:rPr>
      <w:color w:val="000000"/>
      <w:sz w:val="18"/>
      <w:szCs w:val="18"/>
    </w:rPr>
  </w:style>
  <w:style w:type="character" w:customStyle="1" w:styleId="28">
    <w:name w:val="页脚 字符"/>
    <w:basedOn w:val="13"/>
    <w:link w:val="6"/>
    <w:qFormat/>
    <w:uiPriority w:val="99"/>
    <w:rPr>
      <w:color w:val="000000"/>
      <w:sz w:val="18"/>
      <w:szCs w:val="18"/>
    </w:rPr>
  </w:style>
  <w:style w:type="paragraph" w:customStyle="1" w:styleId="29">
    <w:name w:val="Char Char Char Char"/>
    <w:basedOn w:val="1"/>
    <w:qFormat/>
    <w:uiPriority w:val="0"/>
    <w:pPr>
      <w:jc w:val="both"/>
    </w:pPr>
    <w:rPr>
      <w:rFonts w:ascii="Times New Roman" w:hAnsi="Times New Roman" w:eastAsia="宋体" w:cs="Times New Roman"/>
      <w:color w:val="auto"/>
      <w:kern w:val="2"/>
      <w:sz w:val="21"/>
      <w:szCs w:val="20"/>
      <w:lang w:eastAsia="zh-CN" w:bidi="ar-SA"/>
    </w:rPr>
  </w:style>
  <w:style w:type="character" w:customStyle="1" w:styleId="30">
    <w:name w:val="文档结构图 字符"/>
    <w:basedOn w:val="13"/>
    <w:link w:val="3"/>
    <w:semiHidden/>
    <w:qFormat/>
    <w:uiPriority w:val="99"/>
    <w:rPr>
      <w:rFonts w:ascii="宋体" w:eastAsia="宋体"/>
      <w:color w:val="000000"/>
      <w:sz w:val="18"/>
      <w:szCs w:val="18"/>
      <w:lang w:eastAsia="en-US" w:bidi="en-US"/>
    </w:rPr>
  </w:style>
  <w:style w:type="character" w:customStyle="1" w:styleId="31">
    <w:name w:val="正文文本 字符"/>
    <w:basedOn w:val="13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纯文本 字符"/>
    <w:basedOn w:val="13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33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4124</Words>
  <Characters>4598</Characters>
  <Lines>26</Lines>
  <Paragraphs>7</Paragraphs>
  <TotalTime>0</TotalTime>
  <ScaleCrop>false</ScaleCrop>
  <LinksUpToDate>false</LinksUpToDate>
  <CharactersWithSpaces>4850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2022-01-24T08:47:00Z</dcterms:created>
  <dc:creator>Administrator</dc:creator>
  <cp:lastModifiedBy>百合花</cp:lastModifiedBy>
  <dcterms:modified xsi:type="dcterms:W3CDTF">2023-01-17T15:45:58Z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F49EEFB9934D40ADB393511B7B3F931A</vt:lpwstr>
  </property>
</Properties>
</file>