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方正小标宋简体" w:hAnsi="方正小标宋简体" w:eastAsia="方正小标宋简体" w:cs="方正小标宋简体"/>
          <w:sz w:val="32"/>
        </w:rPr>
      </w:pPr>
      <w:bookmarkStart w:id="0" w:name="bookmark2"/>
    </w:p>
    <w:p>
      <w:pPr>
        <w:spacing w:line="240" w:lineRule="exact"/>
        <w:rPr>
          <w:sz w:val="32"/>
        </w:rPr>
      </w:pPr>
    </w:p>
    <w:p>
      <w:pPr>
        <w:spacing w:line="240" w:lineRule="exact"/>
        <w:rPr>
          <w:sz w:val="32"/>
        </w:rPr>
      </w:pPr>
    </w:p>
    <w:p>
      <w:pPr>
        <w:spacing w:line="240" w:lineRule="exact"/>
        <w:rPr>
          <w:sz w:val="32"/>
        </w:rPr>
      </w:pPr>
    </w:p>
    <w:p>
      <w:pPr>
        <w:spacing w:line="240" w:lineRule="exact"/>
        <w:rPr>
          <w:sz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关于对《库尔勒市桐洹建筑材料有限公司库尔勒市库尔楚北3号建筑用砂矿矿产资源开发利用与生态保护修复方案》专家意见的认定</w:t>
      </w:r>
    </w:p>
    <w:p>
      <w:pPr>
        <w:pStyle w:val="14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上库国土</w:t>
      </w:r>
      <w:r>
        <w:rPr>
          <w:rFonts w:hint="eastAsia" w:ascii="仿宋_GB2312" w:eastAsia="仿宋_GB2312"/>
          <w:sz w:val="32"/>
          <w:lang w:eastAsia="zh-CN"/>
        </w:rPr>
        <w:t>资</w:t>
      </w:r>
      <w:r>
        <w:rPr>
          <w:rFonts w:hint="eastAsia" w:ascii="仿宋_GB2312" w:eastAsia="仿宋_GB2312"/>
          <w:sz w:val="32"/>
          <w:lang w:val="en-US" w:eastAsia="zh-CN"/>
        </w:rPr>
        <w:t>开垦审发</w:t>
      </w:r>
      <w:r>
        <w:rPr>
          <w:rFonts w:hint="eastAsia" w:ascii="仿宋_GB2312" w:eastAsia="仿宋_GB2312"/>
          <w:sz w:val="32"/>
          <w:lang w:eastAsia="zh-CN"/>
        </w:rPr>
        <w:t>〔202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  <w:lang w:eastAsia="zh-CN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01</w:t>
      </w:r>
      <w:r>
        <w:rPr>
          <w:rFonts w:hint="eastAsia" w:ascii="仿宋_GB2312" w:eastAsia="仿宋_GB2312"/>
          <w:sz w:val="32"/>
          <w:lang w:eastAsia="zh-CN"/>
        </w:rPr>
        <w:t>号</w:t>
      </w:r>
    </w:p>
    <w:p>
      <w:pPr>
        <w:pStyle w:val="14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line="240" w:lineRule="exact"/>
        <w:ind w:firstLine="4572" w:firstLineChars="1429"/>
        <w:rPr>
          <w:rFonts w:ascii="仿宋_GB2312" w:eastAsia="仿宋_GB2312"/>
          <w:sz w:val="32"/>
          <w:lang w:eastAsia="zh-CN"/>
        </w:rPr>
      </w:pPr>
    </w:p>
    <w:p>
      <w:pPr>
        <w:spacing w:line="240" w:lineRule="exact"/>
        <w:ind w:firstLine="4572" w:firstLineChars="142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巴州国土资源局库尔勒上库综合产业园区分局</w:t>
      </w:r>
      <w:r>
        <w:rPr>
          <w:rFonts w:hint="eastAsia" w:ascii="仿宋" w:hAnsi="仿宋" w:eastAsia="仿宋" w:cs="仿宋"/>
          <w:sz w:val="31"/>
          <w:szCs w:val="31"/>
        </w:rPr>
        <w:t xml:space="preserve"> </w:t>
      </w:r>
    </w:p>
    <w:p>
      <w:pPr>
        <w:jc w:val="center"/>
        <w:rPr>
          <w:rFonts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202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  <w:lang w:eastAsia="zh-CN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  <w:lang w:eastAsia="zh-CN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lang w:eastAsia="zh-CN"/>
        </w:rPr>
        <w:t>日</w:t>
      </w:r>
    </w:p>
    <w:p>
      <w:pPr>
        <w:spacing w:line="240" w:lineRule="exact"/>
        <w:jc w:val="center"/>
        <w:rPr>
          <w:rFonts w:ascii="仿宋_GB2312" w:eastAsia="仿宋_GB2312"/>
          <w:sz w:val="32"/>
          <w:lang w:eastAsia="zh-CN"/>
        </w:rPr>
      </w:pPr>
    </w:p>
    <w:p>
      <w:pPr>
        <w:spacing w:line="240" w:lineRule="exact"/>
        <w:jc w:val="center"/>
        <w:rPr>
          <w:rFonts w:ascii="仿宋_GB2312" w:eastAsia="仿宋_GB2312"/>
          <w:sz w:val="32"/>
          <w:lang w:eastAsia="zh-CN"/>
        </w:rPr>
      </w:pPr>
    </w:p>
    <w:p>
      <w:pPr>
        <w:spacing w:line="240" w:lineRule="exact"/>
        <w:rPr>
          <w:rFonts w:ascii="仿宋_GB2312" w:eastAsia="仿宋_GB2312"/>
          <w:sz w:val="32"/>
          <w:lang w:eastAsia="zh-CN"/>
        </w:rPr>
      </w:pPr>
    </w:p>
    <w:p>
      <w:pPr>
        <w:pStyle w:val="2"/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spacing w:line="600" w:lineRule="exact"/>
        <w:ind w:left="1644" w:leftChars="685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100"/>
          <w:sz w:val="30"/>
          <w:szCs w:val="30"/>
          <w:lang w:eastAsia="zh-CN"/>
        </w:rPr>
        <w:t>编写单</w:t>
      </w:r>
      <w:r>
        <w:rPr>
          <w:rFonts w:hint="eastAsia" w:ascii="仿宋_GB2312" w:eastAsia="仿宋_GB2312"/>
          <w:sz w:val="30"/>
          <w:szCs w:val="30"/>
          <w:lang w:eastAsia="zh-CN"/>
        </w:rPr>
        <w:t>位：新疆地矿局第三地质大队</w:t>
      </w:r>
    </w:p>
    <w:p>
      <w:pPr>
        <w:spacing w:line="600" w:lineRule="exact"/>
        <w:ind w:left="1644" w:leftChars="685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37"/>
          <w:sz w:val="30"/>
          <w:szCs w:val="30"/>
          <w:lang w:eastAsia="zh-CN"/>
        </w:rPr>
        <w:t>单位负责</w:t>
      </w:r>
      <w:r>
        <w:rPr>
          <w:rFonts w:hint="eastAsia" w:ascii="仿宋_GB2312" w:eastAsia="仿宋_GB2312"/>
          <w:spacing w:val="2"/>
          <w:sz w:val="30"/>
          <w:szCs w:val="30"/>
          <w:lang w:eastAsia="zh-CN"/>
        </w:rPr>
        <w:t>人</w:t>
      </w:r>
      <w:r>
        <w:rPr>
          <w:rFonts w:hint="eastAsia" w:ascii="仿宋_GB2312" w:eastAsia="仿宋_GB2312"/>
          <w:sz w:val="30"/>
          <w:szCs w:val="30"/>
          <w:lang w:eastAsia="zh-CN"/>
        </w:rPr>
        <w:t xml:space="preserve">：石福品 </w:t>
      </w:r>
    </w:p>
    <w:p>
      <w:pPr>
        <w:spacing w:line="600" w:lineRule="exact"/>
        <w:ind w:left="1644" w:leftChars="685"/>
        <w:rPr>
          <w:rFonts w:ascii="仿宋_GB2312" w:eastAsia="仿宋_GB2312"/>
          <w:spacing w:val="37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37"/>
          <w:sz w:val="30"/>
          <w:szCs w:val="30"/>
          <w:lang w:eastAsia="zh-CN"/>
        </w:rPr>
        <w:t>技术负责人：陈建中</w:t>
      </w:r>
    </w:p>
    <w:p>
      <w:pPr>
        <w:spacing w:line="600" w:lineRule="exact"/>
        <w:ind w:left="1644" w:leftChars="685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编   写  人：</w:t>
      </w:r>
      <w:r>
        <w:rPr>
          <w:rFonts w:hint="eastAsia" w:ascii="仿宋_GB2312" w:eastAsia="仿宋_GB2312"/>
          <w:spacing w:val="37"/>
          <w:sz w:val="30"/>
          <w:szCs w:val="30"/>
          <w:lang w:eastAsia="zh-CN"/>
        </w:rPr>
        <w:t>杨文臣、</w:t>
      </w:r>
      <w:r>
        <w:rPr>
          <w:rFonts w:hint="eastAsia" w:ascii="仿宋_GB2312" w:eastAsia="仿宋_GB2312"/>
          <w:spacing w:val="37"/>
          <w:sz w:val="30"/>
          <w:szCs w:val="30"/>
          <w:lang w:val="en-US" w:eastAsia="zh-CN"/>
        </w:rPr>
        <w:t>杜金花</w:t>
      </w:r>
      <w:r>
        <w:rPr>
          <w:rFonts w:hint="eastAsia" w:ascii="仿宋_GB2312" w:eastAsia="仿宋_GB2312"/>
          <w:spacing w:val="37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pacing w:val="37"/>
          <w:sz w:val="30"/>
          <w:szCs w:val="30"/>
          <w:lang w:val="en-US" w:eastAsia="zh-CN"/>
        </w:rPr>
        <w:t>吴春伟</w:t>
      </w:r>
      <w:r>
        <w:rPr>
          <w:rFonts w:hint="eastAsia" w:ascii="仿宋_GB2312" w:eastAsia="仿宋_GB2312"/>
          <w:spacing w:val="37"/>
          <w:sz w:val="30"/>
          <w:szCs w:val="30"/>
          <w:lang w:eastAsia="zh-CN"/>
        </w:rPr>
        <w:t xml:space="preserve"> </w:t>
      </w:r>
    </w:p>
    <w:p>
      <w:pPr>
        <w:spacing w:line="600" w:lineRule="exact"/>
        <w:ind w:left="1644" w:leftChars="685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100"/>
          <w:sz w:val="30"/>
          <w:szCs w:val="30"/>
          <w:lang w:eastAsia="zh-CN"/>
        </w:rPr>
        <w:t>提交单</w:t>
      </w:r>
      <w:r>
        <w:rPr>
          <w:rFonts w:hint="eastAsia" w:ascii="仿宋_GB2312" w:eastAsia="仿宋_GB2312"/>
          <w:sz w:val="30"/>
          <w:szCs w:val="30"/>
          <w:lang w:eastAsia="zh-CN"/>
        </w:rPr>
        <w:t>位：库尔勒市桐洹建筑材料有限公司</w:t>
      </w:r>
    </w:p>
    <w:p>
      <w:pPr>
        <w:spacing w:line="600" w:lineRule="exact"/>
        <w:ind w:left="1644" w:leftChars="685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100"/>
          <w:sz w:val="30"/>
          <w:szCs w:val="30"/>
          <w:lang w:eastAsia="zh-CN"/>
        </w:rPr>
        <w:t>提交时</w:t>
      </w:r>
      <w:r>
        <w:rPr>
          <w:rFonts w:hint="eastAsia" w:ascii="仿宋_GB2312" w:eastAsia="仿宋_GB2312"/>
          <w:sz w:val="30"/>
          <w:szCs w:val="30"/>
          <w:lang w:eastAsia="zh-CN"/>
        </w:rPr>
        <w:t>间：2022年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30"/>
          <w:szCs w:val="30"/>
          <w:lang w:eastAsia="zh-CN"/>
        </w:rPr>
        <w:t>月</w:t>
      </w:r>
    </w:p>
    <w:p>
      <w:pPr>
        <w:spacing w:line="600" w:lineRule="exact"/>
        <w:ind w:left="1644" w:leftChars="685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100"/>
          <w:sz w:val="30"/>
          <w:szCs w:val="30"/>
          <w:lang w:eastAsia="zh-CN"/>
        </w:rPr>
        <w:t>主审专</w:t>
      </w:r>
      <w:r>
        <w:rPr>
          <w:rFonts w:hint="eastAsia" w:ascii="仿宋_GB2312" w:eastAsia="仿宋_GB2312"/>
          <w:sz w:val="30"/>
          <w:szCs w:val="30"/>
          <w:lang w:eastAsia="zh-CN"/>
        </w:rPr>
        <w:t>家：郝晨亮</w:t>
      </w:r>
    </w:p>
    <w:p>
      <w:pPr>
        <w:spacing w:line="600" w:lineRule="exact"/>
        <w:ind w:left="1644" w:leftChars="685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pacing w:val="100"/>
          <w:sz w:val="30"/>
          <w:szCs w:val="30"/>
          <w:lang w:eastAsia="zh-CN"/>
        </w:rPr>
        <w:t>评审专</w:t>
      </w:r>
      <w:r>
        <w:rPr>
          <w:rFonts w:hint="eastAsia" w:ascii="仿宋_GB2312" w:eastAsia="仿宋_GB2312"/>
          <w:sz w:val="30"/>
          <w:szCs w:val="30"/>
          <w:lang w:eastAsia="zh-CN"/>
        </w:rPr>
        <w:t>家：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王多生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bookmarkStart w:id="7" w:name="_GoBack"/>
      <w:bookmarkEnd w:id="7"/>
      <w:r>
        <w:rPr>
          <w:rFonts w:hint="eastAsia" w:ascii="仿宋_GB2312" w:eastAsia="仿宋_GB2312"/>
          <w:sz w:val="30"/>
          <w:szCs w:val="30"/>
          <w:lang w:val="en-US" w:eastAsia="zh-CN"/>
        </w:rPr>
        <w:t>张飞</w:t>
      </w:r>
    </w:p>
    <w:p>
      <w:pPr>
        <w:pStyle w:val="9"/>
        <w:spacing w:line="560" w:lineRule="exact"/>
        <w:ind w:firstLine="1680" w:firstLineChars="600"/>
        <w:rPr>
          <w:rFonts w:hint="eastAsia" w:ascii="仿宋_GB2312" w:eastAsia="仿宋_GB2312" w:cs="宋体"/>
          <w:sz w:val="28"/>
          <w:szCs w:val="28"/>
          <w:lang w:eastAsia="zh-CN" w:bidi="en-US"/>
        </w:rPr>
      </w:pPr>
      <w:r>
        <w:rPr>
          <w:rFonts w:hint="eastAsia" w:ascii="仿宋_GB2312" w:eastAsia="仿宋_GB2312" w:cs="宋体"/>
          <w:sz w:val="28"/>
          <w:szCs w:val="28"/>
          <w:lang w:eastAsia="zh-CN" w:bidi="en-US"/>
        </w:rPr>
        <w:t>认定单位：巴州国土资源局库尔勒上库综合产业园区分局</w:t>
      </w:r>
    </w:p>
    <w:p>
      <w:pPr>
        <w:spacing w:line="600" w:lineRule="exact"/>
        <w:ind w:left="1644" w:leftChars="685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评审会议日期：2022年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30"/>
          <w:szCs w:val="30"/>
          <w:lang w:eastAsia="zh-CN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  <w:lang w:eastAsia="zh-CN"/>
        </w:rPr>
        <w:t>日</w:t>
      </w:r>
    </w:p>
    <w:p>
      <w:pPr>
        <w:ind w:left="1644" w:leftChars="685"/>
        <w:rPr>
          <w:rFonts w:ascii="仿宋_GB2312" w:eastAsia="仿宋_GB2312"/>
          <w:sz w:val="30"/>
          <w:szCs w:val="30"/>
          <w:lang w:eastAsia="zh-CN"/>
        </w:rPr>
      </w:pPr>
    </w:p>
    <w:p>
      <w:pPr>
        <w:rPr>
          <w:rFonts w:ascii="仿宋_GB2312" w:eastAsia="仿宋_GB2312"/>
          <w:sz w:val="32"/>
          <w:lang w:eastAsia="zh-CN"/>
        </w:rPr>
      </w:pPr>
    </w:p>
    <w:p>
      <w:pPr>
        <w:ind w:firstLine="640" w:firstLineChars="200"/>
        <w:rPr>
          <w:rFonts w:ascii="仿宋_GB2312" w:eastAsia="仿宋_GB2312"/>
          <w:sz w:val="32"/>
          <w:lang w:eastAsia="zh-CN"/>
        </w:rPr>
      </w:pPr>
    </w:p>
    <w:p>
      <w:pPr>
        <w:widowControl/>
        <w:rPr>
          <w:rFonts w:ascii="宋体" w:hAnsi="宋体" w:eastAsia="宋体"/>
          <w:b/>
          <w:bCs/>
          <w:sz w:val="32"/>
          <w:szCs w:val="32"/>
          <w:lang w:eastAsia="zh-CN"/>
        </w:rPr>
      </w:pPr>
      <w:r>
        <w:rPr>
          <w:rFonts w:ascii="宋体" w:hAnsi="宋体" w:eastAsia="宋体"/>
          <w:b/>
          <w:bCs/>
          <w:sz w:val="32"/>
          <w:szCs w:val="32"/>
          <w:lang w:eastAsia="zh-CN"/>
        </w:rPr>
        <w:br w:type="page"/>
      </w:r>
    </w:p>
    <w:p>
      <w:pPr>
        <w:spacing w:line="360" w:lineRule="auto"/>
        <w:jc w:val="center"/>
        <w:outlineLvl w:val="0"/>
        <w:rPr>
          <w:rFonts w:ascii="宋体" w:hAnsi="宋体" w:eastAsia="宋体"/>
          <w:b/>
          <w:bCs/>
          <w:sz w:val="32"/>
          <w:szCs w:val="32"/>
          <w:lang w:eastAsia="zh-CN"/>
        </w:rPr>
      </w:pPr>
      <w:r>
        <w:rPr>
          <w:rFonts w:ascii="宋体" w:hAnsi="宋体" w:eastAsia="宋体"/>
          <w:b/>
          <w:bCs/>
          <w:sz w:val="32"/>
          <w:szCs w:val="32"/>
          <w:lang w:eastAsia="zh-CN"/>
        </w:rPr>
        <w:t>《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库尔勒市桐洹建筑材料有限公司库尔勒市库尔楚北3号建筑用砂矿矿产资源开发利用与生态保护修复方案</w:t>
      </w:r>
      <w:r>
        <w:rPr>
          <w:rFonts w:ascii="宋体" w:hAnsi="宋体" w:eastAsia="宋体"/>
          <w:b/>
          <w:bCs/>
          <w:sz w:val="32"/>
          <w:szCs w:val="32"/>
          <w:lang w:eastAsia="zh-CN"/>
        </w:rPr>
        <w:t>》</w:t>
      </w:r>
      <w:bookmarkEnd w:id="0"/>
      <w:bookmarkStart w:id="1" w:name="bookmark3"/>
      <w:bookmarkStart w:id="2" w:name="bookmark0"/>
      <w:bookmarkStart w:id="3" w:name="bookmark1"/>
      <w:r>
        <w:rPr>
          <w:rFonts w:hint="eastAsia" w:ascii="宋体" w:hAnsi="宋体"/>
          <w:b/>
          <w:sz w:val="32"/>
          <w:szCs w:val="32"/>
          <w:lang w:eastAsia="zh-CN"/>
        </w:rPr>
        <w:t>专家</w:t>
      </w:r>
      <w:r>
        <w:rPr>
          <w:rFonts w:ascii="宋体" w:hAnsi="宋体" w:eastAsia="宋体"/>
          <w:b/>
          <w:bCs/>
          <w:sz w:val="32"/>
          <w:szCs w:val="32"/>
          <w:lang w:eastAsia="zh-CN"/>
        </w:rPr>
        <w:t>审查意见</w:t>
      </w:r>
      <w:bookmarkEnd w:id="1"/>
      <w:bookmarkEnd w:id="2"/>
      <w:bookmarkEnd w:id="3"/>
    </w:p>
    <w:p>
      <w:pPr>
        <w:pStyle w:val="18"/>
        <w:spacing w:line="360" w:lineRule="auto"/>
        <w:ind w:firstLine="361" w:firstLineChars="200"/>
        <w:jc w:val="both"/>
        <w:rPr>
          <w:sz w:val="18"/>
          <w:szCs w:val="18"/>
          <w:lang w:eastAsia="zh-CN"/>
        </w:rPr>
      </w:pPr>
      <w:bookmarkStart w:id="4" w:name="bookmark4"/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</w:t>
      </w:r>
      <w:bookmarkEnd w:id="4"/>
      <w:r>
        <w:rPr>
          <w:rFonts w:hint="eastAsia"/>
          <w:sz w:val="28"/>
          <w:szCs w:val="28"/>
          <w:lang w:eastAsia="zh-CN"/>
        </w:rPr>
        <w:t>、项目概况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《</w:t>
      </w:r>
      <w:r>
        <w:rPr>
          <w:rFonts w:hint="eastAsia" w:cs="宋体"/>
          <w:sz w:val="28"/>
          <w:szCs w:val="28"/>
          <w:lang w:eastAsia="zh-CN"/>
        </w:rPr>
        <w:t>库尔勒市桐洹建筑材料有限公司库尔勒市库尔楚北3号建筑用砂矿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矿产资源开发利用与生态保护修复方案》由</w:t>
      </w:r>
      <w:r>
        <w:rPr>
          <w:rFonts w:hint="eastAsia" w:cs="宋体"/>
          <w:sz w:val="28"/>
          <w:szCs w:val="28"/>
          <w:lang w:eastAsia="zh-CN"/>
        </w:rPr>
        <w:t>库尔勒市桐洹建筑材料有限公司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委托新疆地矿局第三地质大队编制完成。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 w:bidi="en-US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 w:bidi="en-US"/>
        </w:rPr>
        <w:t>“新疆库尔勒市库尔楚北3号建筑用砂矿”位于库尔勒市北西290°方向，距库尔勒市区直线距离60千米，属库尔勒市管辖。矿区中心地理坐标：东经85°26′14″，北纬41°57′</w:t>
      </w:r>
      <w:r>
        <w:rPr>
          <w:rFonts w:hint="default" w:ascii="宋体" w:hAnsi="宋体" w:eastAsia="宋体" w:cs="宋体"/>
          <w:color w:val="000000"/>
          <w:sz w:val="28"/>
          <w:szCs w:val="28"/>
          <w:lang w:val="zh-CN" w:eastAsia="zh-CN" w:bidi="en-US"/>
        </w:rPr>
        <w:t>11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 w:bidi="en-US"/>
        </w:rPr>
        <w:t>″。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en-US"/>
        </w:rPr>
        <w:t>矿区距库尔勒市区直线距离60千米，库尔勒一喀什的公路由矿区南侧通过，交通条件较方便，矿区到库尔勒市区道路里程65千米。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该矿山开采矿种为建设用砂石料矿，采用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露天-凹陷式开采方式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，规划生产规模</w:t>
      </w:r>
      <w:r>
        <w:rPr>
          <w:rFonts w:hint="eastAsia" w:cs="宋体"/>
          <w:sz w:val="28"/>
          <w:szCs w:val="28"/>
          <w:lang w:val="en-US" w:eastAsia="zh-CN"/>
        </w:rPr>
        <w:t>7万立方米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/年，开采标高为</w:t>
      </w:r>
      <w:r>
        <w:rPr>
          <w:rFonts w:hint="eastAsia" w:cs="宋体"/>
          <w:sz w:val="28"/>
          <w:szCs w:val="28"/>
          <w:lang w:val="en-US" w:eastAsia="zh-CN"/>
        </w:rPr>
        <w:t>917-885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米，矿山设计服务年限</w:t>
      </w:r>
      <w:r>
        <w:rPr>
          <w:rFonts w:hint="eastAsia" w:cs="宋体"/>
          <w:sz w:val="28"/>
          <w:szCs w:val="28"/>
          <w:lang w:val="en-US" w:eastAsia="zh-CN"/>
        </w:rPr>
        <w:t>5.8年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，砂石料总量（TD）</w:t>
      </w:r>
      <w:r>
        <w:rPr>
          <w:rFonts w:hint="eastAsia" w:cs="宋体"/>
          <w:sz w:val="28"/>
          <w:szCs w:val="28"/>
          <w:lang w:eastAsia="zh-CN"/>
        </w:rPr>
        <w:t>42.79万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立方米。</w:t>
      </w:r>
    </w:p>
    <w:p>
      <w:pPr>
        <w:adjustRightInd w:val="0"/>
        <w:snapToGrid w:val="0"/>
        <w:spacing w:before="120" w:beforeLines="50"/>
        <w:jc w:val="center"/>
        <w:rPr>
          <w:rFonts w:hint="eastAsia" w:ascii="宋体" w:hAnsi="宋体" w:eastAsia="宋体" w:cs="宋体"/>
          <w:b/>
          <w:szCs w:val="28"/>
        </w:rPr>
      </w:pPr>
      <w:r>
        <w:rPr>
          <w:rFonts w:hint="eastAsia" w:ascii="宋体" w:hAnsi="宋体" w:eastAsia="宋体" w:cs="宋体"/>
          <w:b/>
          <w:szCs w:val="28"/>
        </w:rPr>
        <w:t>矿区拐点坐标一览表</w:t>
      </w:r>
    </w:p>
    <w:tbl>
      <w:tblPr>
        <w:tblStyle w:val="11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784"/>
        <w:gridCol w:w="1922"/>
        <w:gridCol w:w="2261"/>
        <w:gridCol w:w="2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拐点编号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北纬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J1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  <w:t xml:space="preserve">4647813.659 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  <w:t xml:space="preserve">29370364.574 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85°26＇11.1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＂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41°57＇17.75＂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J2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  <w:t xml:space="preserve">4647626.039 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  <w:t xml:space="preserve">29370752.790 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85°26＇28.1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＂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41°57＇11.90＂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J3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  <w:t xml:space="preserve">4647134.881 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  <w:t xml:space="preserve">29370578.875 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85°26＇21.01＂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41°56＇55.8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J4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  <w:t xml:space="preserve">4647405.000 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  <w:t xml:space="preserve">29370124.802 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85°26＇01.09＂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41°57＇04.37＂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依据</w:t>
      </w:r>
      <w:r>
        <w:rPr>
          <w:rFonts w:hint="eastAsia" w:cs="宋体"/>
          <w:sz w:val="28"/>
          <w:szCs w:val="28"/>
          <w:highlight w:val="none"/>
          <w:lang w:eastAsia="zh-CN"/>
        </w:rPr>
        <w:t>库尔勒市自然资源局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出具的《矿区土地利用现状证明》以及《土地利用现状分类》（GB/T21010－2017），矿区布局所占用土地类型为裸地，土地权属为国有。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本次调查工作完成调查区面积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25.68公顷，其中重点调查区13.53公顷，一般调查区面积12.15公顷。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本次调查路线1条，长2810米，完成调查点23个,拍摄照片10张，公众参与调查表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6份。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0"/>
        <w:rPr>
          <w:sz w:val="28"/>
          <w:szCs w:val="28"/>
          <w:highlight w:val="none"/>
          <w:lang w:eastAsia="zh-CN"/>
        </w:rPr>
      </w:pPr>
      <w:r>
        <w:rPr>
          <w:rFonts w:hint="eastAsia"/>
          <w:sz w:val="28"/>
          <w:szCs w:val="28"/>
          <w:highlight w:val="none"/>
          <w:lang w:eastAsia="zh-CN"/>
        </w:rPr>
        <w:t>二、提交审查的成果资料：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宋体"/>
          <w:kern w:val="2"/>
          <w:sz w:val="28"/>
          <w:szCs w:val="28"/>
          <w:lang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 w:bidi="ar-SA"/>
        </w:rPr>
        <w:t>（一）</w:t>
      </w:r>
      <w:bookmarkStart w:id="5" w:name="_Hlk82255059"/>
      <w:r>
        <w:rPr>
          <w:rFonts w:hint="eastAsia" w:ascii="宋体" w:hAnsi="宋体" w:eastAsia="宋体" w:cs="宋体"/>
          <w:kern w:val="2"/>
          <w:sz w:val="28"/>
          <w:szCs w:val="28"/>
          <w:lang w:eastAsia="zh-CN" w:bidi="ar-SA"/>
        </w:rPr>
        <w:t>《方案》</w:t>
      </w:r>
      <w:bookmarkEnd w:id="5"/>
      <w:r>
        <w:rPr>
          <w:rFonts w:hint="eastAsia" w:ascii="宋体" w:hAnsi="宋体" w:eastAsia="宋体" w:cs="宋体"/>
          <w:kern w:val="2"/>
          <w:sz w:val="28"/>
          <w:szCs w:val="28"/>
          <w:lang w:eastAsia="zh-CN" w:bidi="ar-SA"/>
        </w:rPr>
        <w:t>正文。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宋体"/>
          <w:kern w:val="2"/>
          <w:sz w:val="28"/>
          <w:szCs w:val="28"/>
          <w:lang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 w:bidi="ar-SA"/>
        </w:rPr>
        <w:t>（二）附图：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 w:bidi="ar-SA"/>
        </w:rPr>
        <w:t>1. 露天开采最终境界及矿区总平面图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 w:bidi="ar-SA"/>
        </w:rPr>
        <w:t>（</w:t>
      </w:r>
      <w:r>
        <w:rPr>
          <w:rFonts w:hint="eastAsia" w:cs="宋体"/>
          <w:b w:val="0"/>
          <w:bCs w:val="0"/>
          <w:kern w:val="2"/>
          <w:sz w:val="28"/>
          <w:szCs w:val="28"/>
          <w:lang w:eastAsia="zh-CN" w:bidi="ar-SA"/>
        </w:rPr>
        <w:t>1:1000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 w:bidi="ar-SA"/>
        </w:rPr>
        <w:t>）；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 w:bidi="ar-SA"/>
        </w:rPr>
        <w:t>2. 露天开采最终境界勘查线剖面图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（1:1000）；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b w:val="0"/>
          <w:bCs w:val="0"/>
          <w:kern w:val="2"/>
          <w:sz w:val="28"/>
          <w:szCs w:val="28"/>
          <w:lang w:eastAsia="zh-CN" w:bidi="ar-SA"/>
        </w:rPr>
      </w:pPr>
      <w:r>
        <w:rPr>
          <w:b w:val="0"/>
          <w:bCs w:val="0"/>
          <w:kern w:val="2"/>
          <w:sz w:val="28"/>
          <w:szCs w:val="28"/>
          <w:lang w:eastAsia="zh-CN" w:bidi="ar-SA"/>
        </w:rPr>
        <w:t>3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.</w:t>
      </w: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b w:val="0"/>
          <w:bCs w:val="0"/>
          <w:kern w:val="2"/>
          <w:sz w:val="28"/>
          <w:szCs w:val="28"/>
          <w:lang w:eastAsia="zh-CN" w:bidi="ar-SA"/>
        </w:rPr>
        <w:t>采矿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工艺</w:t>
      </w:r>
      <w:r>
        <w:rPr>
          <w:b w:val="0"/>
          <w:bCs w:val="0"/>
          <w:kern w:val="2"/>
          <w:sz w:val="28"/>
          <w:szCs w:val="28"/>
          <w:lang w:eastAsia="zh-CN" w:bidi="ar-SA"/>
        </w:rPr>
        <w:t>图</w:t>
      </w: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                  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（1:100）；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>4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.</w:t>
      </w:r>
      <w:r>
        <w:rPr>
          <w:b w:val="0"/>
          <w:bCs w:val="0"/>
          <w:kern w:val="2"/>
          <w:sz w:val="28"/>
          <w:szCs w:val="28"/>
          <w:lang w:eastAsia="zh-CN" w:bidi="ar-SA"/>
        </w:rPr>
        <w:t xml:space="preserve"> 地质环境问题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影响</w:t>
      </w:r>
      <w:r>
        <w:rPr>
          <w:b w:val="0"/>
          <w:bCs w:val="0"/>
          <w:kern w:val="2"/>
          <w:sz w:val="28"/>
          <w:szCs w:val="28"/>
          <w:lang w:eastAsia="zh-CN" w:bidi="ar-SA"/>
        </w:rPr>
        <w:t>现状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评估</w:t>
      </w:r>
      <w:r>
        <w:rPr>
          <w:b w:val="0"/>
          <w:bCs w:val="0"/>
          <w:kern w:val="2"/>
          <w:sz w:val="28"/>
          <w:szCs w:val="28"/>
          <w:lang w:eastAsia="zh-CN" w:bidi="ar-SA"/>
        </w:rPr>
        <w:t>图</w:t>
      </w: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  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（1:1000）；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>5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 xml:space="preserve">. </w:t>
      </w:r>
      <w:r>
        <w:rPr>
          <w:b w:val="0"/>
          <w:bCs w:val="0"/>
          <w:kern w:val="2"/>
          <w:sz w:val="28"/>
          <w:szCs w:val="28"/>
          <w:lang w:eastAsia="zh-CN" w:bidi="ar-SA"/>
        </w:rPr>
        <w:t>土地利用现状图</w:t>
      </w: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              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（1:1000）；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>6</w:t>
      </w:r>
      <w:r>
        <w:rPr>
          <w:b w:val="0"/>
          <w:bCs w:val="0"/>
          <w:kern w:val="2"/>
          <w:sz w:val="28"/>
          <w:szCs w:val="28"/>
          <w:lang w:eastAsia="zh-CN" w:bidi="ar-SA"/>
        </w:rPr>
        <w:t>.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 xml:space="preserve"> </w:t>
      </w:r>
      <w:r>
        <w:rPr>
          <w:b w:val="0"/>
          <w:bCs w:val="0"/>
          <w:kern w:val="2"/>
          <w:sz w:val="28"/>
          <w:szCs w:val="28"/>
          <w:lang w:eastAsia="zh-CN" w:bidi="ar-SA"/>
        </w:rPr>
        <w:t>地质环境问题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与</w:t>
      </w:r>
      <w:r>
        <w:rPr>
          <w:b w:val="0"/>
          <w:bCs w:val="0"/>
          <w:kern w:val="2"/>
          <w:sz w:val="28"/>
          <w:szCs w:val="28"/>
          <w:lang w:eastAsia="zh-CN" w:bidi="ar-SA"/>
        </w:rPr>
        <w:t>土地损毁预测图</w:t>
      </w: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（1:1000）；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>7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 xml:space="preserve">. </w:t>
      </w:r>
      <w:r>
        <w:rPr>
          <w:b w:val="0"/>
          <w:bCs w:val="0"/>
          <w:kern w:val="2"/>
          <w:sz w:val="28"/>
          <w:szCs w:val="28"/>
          <w:lang w:eastAsia="zh-CN" w:bidi="ar-SA"/>
        </w:rPr>
        <w:t>土地复垦规划图</w:t>
      </w: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              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（1:1000）；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>8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 xml:space="preserve">. </w:t>
      </w:r>
      <w:r>
        <w:rPr>
          <w:b w:val="0"/>
          <w:bCs w:val="0"/>
          <w:kern w:val="2"/>
          <w:sz w:val="28"/>
          <w:szCs w:val="28"/>
          <w:lang w:eastAsia="zh-CN" w:bidi="ar-SA"/>
        </w:rPr>
        <w:t>地质环境治理工程部署图</w:t>
      </w: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      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（1:1000）。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宋体"/>
          <w:kern w:val="2"/>
          <w:sz w:val="28"/>
          <w:szCs w:val="28"/>
          <w:lang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 w:bidi="ar-SA"/>
        </w:rPr>
        <w:t>（三）附件一册。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0"/>
        <w:rPr>
          <w:sz w:val="28"/>
          <w:szCs w:val="28"/>
          <w:lang w:eastAsia="zh-CN"/>
        </w:rPr>
      </w:pPr>
      <w:bookmarkStart w:id="6" w:name="bookmark24"/>
      <w:r>
        <w:rPr>
          <w:rFonts w:hint="eastAsia"/>
          <w:sz w:val="28"/>
          <w:szCs w:val="28"/>
          <w:lang w:eastAsia="zh-CN"/>
        </w:rPr>
        <w:t>三、主要成绩与优点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仿宋_GB2312"/>
          <w:sz w:val="28"/>
          <w:szCs w:val="28"/>
          <w:lang w:eastAsia="zh-CN" w:bidi="ar-SA"/>
        </w:rPr>
      </w:pPr>
      <w:r>
        <w:rPr>
          <w:rFonts w:hint="eastAsia" w:ascii="宋体" w:hAnsi="宋体" w:eastAsia="宋体" w:cs="仿宋_GB2312"/>
          <w:sz w:val="28"/>
          <w:szCs w:val="28"/>
          <w:lang w:eastAsia="zh-CN" w:bidi="ar-SA"/>
        </w:rPr>
        <w:t>（一）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CN" w:eastAsia="zh-CN"/>
        </w:rPr>
        <w:t>矿产资源开发利用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矿山</w:t>
      </w:r>
      <w:r>
        <w:rPr>
          <w:rFonts w:hint="eastAsia" w:ascii="宋体" w:hAnsi="宋体" w:eastAsia="宋体" w:cs="宋体"/>
          <w:sz w:val="28"/>
          <w:szCs w:val="28"/>
        </w:rPr>
        <w:t>资源储量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en-US"/>
        </w:rPr>
        <w:t>根据《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库尔勒市库尔楚北3号建筑用砂矿</w:t>
      </w:r>
      <w:r>
        <w:rPr>
          <w:rFonts w:hint="eastAsia" w:ascii="宋体" w:hAnsi="宋体" w:eastAsia="宋体" w:cs="宋体"/>
          <w:sz w:val="28"/>
          <w:szCs w:val="28"/>
          <w:lang w:val="en-US" w:eastAsia="en-US"/>
        </w:rPr>
        <w:t>普查报告》及专家评审意见，经本次工作，</w:t>
      </w:r>
      <w:r>
        <w:rPr>
          <w:rFonts w:hint="eastAsia" w:ascii="宋体" w:hAnsi="宋体" w:eastAsia="宋体" w:cs="宋体"/>
          <w:sz w:val="28"/>
          <w:szCs w:val="28"/>
        </w:rPr>
        <w:t>截止20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>日，对矿区范围所圈定的矿体进行了资源量估算，在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开采标高917～885米范围内，扣除压覆边坡后，推断资源量为42.79万立方米，松散矿石量53.06万立方米（松散系数1.24）。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en-US" w:bidi="en-US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、矿体裸露地表，开采技术条件较好，适宜露天开采。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en-US" w:bidi="en-US"/>
        </w:rPr>
        <w:t>全矿剥采比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 w:bidi="en-US"/>
        </w:rPr>
        <w:t>0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en-US" w:bidi="en-US"/>
        </w:rPr>
        <w:t>：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 w:bidi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en-US" w:bidi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、《方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案》根据矿体赋存特征及开采技术条件，采用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露天-凹陷式开采方式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、主要建设方案：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1）设计矿山生产规模为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建筑用砂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矿原矿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7万立方米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/年。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）开采方式：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露天-凹陷式开采方式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）开拓运输方案：公路开拓、汽车运输方案；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）采矿方法：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单台阶</w:t>
      </w:r>
      <w:r>
        <w:rPr>
          <w:rFonts w:hint="eastAsia" w:ascii="宋体" w:hAnsi="宋体" w:eastAsia="宋体" w:cs="宋体"/>
          <w:sz w:val="28"/>
          <w:szCs w:val="28"/>
        </w:rPr>
        <w:t>凹进式开采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，挖掘机、装载机联合开采。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）露天开采最终境界：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开采最高标高：917米。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底部最低标高：885米。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最终台阶高度：4米。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底部最小宽度：大于等于20米。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最终边坡角：45°。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）设计损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失率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%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采矿回采率9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）开采境界内资源储量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42.79万立方米。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）矿山工作制度：年工作2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0天，日工作1班，每班8小时。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）设计矿山服务年限：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5.8年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）开采工艺流程为：矿体呈近水平层状产出，适宜露天开采。直接用挖掘机配装载机采装进行挖运即可。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）生产工艺：采挖砂石原矿松散状态易分离，选用40*40mm的网格筛采用重力筛选方式分离出粒径＞40mm的粒级及≤40mm粒级。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）投资估算：该矿为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新建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矿山，项目建设投资为182.79万元，其中矿建投资166.17万元，流动资金为16.62万元。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)经济评价：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①矿产品价格：成品砂石料市场均价为0.1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～5.00毫米砂价格一般为50元/立方米，5.00～20毫米卵石价格一般为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元/立方米，20～40毫米卵石价格一般为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元/立方米。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②销售收入：336.87万元。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③上缴所得税：59.74万元。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④税后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利润：53.42万元。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⑤静态投资回收期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仿宋_GB2312"/>
          <w:sz w:val="28"/>
          <w:szCs w:val="28"/>
          <w:lang w:eastAsia="zh-CN" w:bidi="ar-SA"/>
        </w:rPr>
      </w:pPr>
      <w:r>
        <w:rPr>
          <w:rFonts w:hint="eastAsia" w:ascii="宋体" w:hAnsi="宋体" w:eastAsia="宋体" w:cs="仿宋_GB2312"/>
          <w:sz w:val="28"/>
          <w:szCs w:val="28"/>
          <w:lang w:eastAsia="zh-CN" w:bidi="ar-SA"/>
        </w:rPr>
        <w:t>（二）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CN" w:eastAsia="zh-CN"/>
        </w:rPr>
        <w:t>地质环境治理和土地复垦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仿宋_GB2312"/>
          <w:color w:val="auto"/>
          <w:sz w:val="28"/>
          <w:szCs w:val="28"/>
          <w:highlight w:val="none"/>
          <w:lang w:eastAsia="zh-CN" w:bidi="ar-SA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  <w:lang w:eastAsia="zh-CN" w:bidi="ar-SA"/>
        </w:rPr>
        <w:t>现状条件下评估区内无地质灾害，崩塌隐患不发育；滑坡、泥石流、地面塌陷、地裂缝、地面沉降地质灾害发育程度弱，危害程度小，危险性小；对含水层破坏程度较轻；对地形地貌景观影响和破坏程度较轻；对水土环境污染程度较轻，对大气污染程度较轻。</w:t>
      </w:r>
      <w:r>
        <w:rPr>
          <w:rFonts w:hint="eastAsia" w:ascii="宋体" w:hAnsi="宋体" w:eastAsia="宋体" w:cs="仿宋_GB2312"/>
          <w:color w:val="auto"/>
          <w:sz w:val="28"/>
          <w:szCs w:val="28"/>
          <w:highlight w:val="none"/>
          <w:lang w:eastAsia="zh-CN" w:bidi="ar-SA"/>
        </w:rPr>
        <w:t>预测评估露天采矿场遭受崩塌地质灾害的可能性中等，危害程度中等，危险性中等；不易引发</w:t>
      </w:r>
      <w:r>
        <w:rPr>
          <w:rFonts w:hint="eastAsia" w:ascii="宋体" w:hAnsi="宋体" w:eastAsia="宋体" w:cs="仿宋_GB2312"/>
          <w:color w:val="auto"/>
          <w:sz w:val="28"/>
          <w:szCs w:val="28"/>
          <w:highlight w:val="none"/>
          <w:lang w:val="en-US" w:eastAsia="zh-CN" w:bidi="ar-SA"/>
        </w:rPr>
        <w:t>滑坡</w:t>
      </w:r>
      <w:r>
        <w:rPr>
          <w:rFonts w:hint="eastAsia" w:ascii="宋体" w:hAnsi="宋体" w:eastAsia="宋体" w:cs="仿宋_GB2312"/>
          <w:color w:val="auto"/>
          <w:sz w:val="28"/>
          <w:szCs w:val="28"/>
          <w:highlight w:val="none"/>
          <w:lang w:eastAsia="zh-CN" w:bidi="ar-SA"/>
        </w:rPr>
        <w:t>、泥石流、地面塌陷、地面沉降、地裂缝等地质灾害。矿山开采对含水层破坏程度较轻；预测采矿场对地形地貌景观影响和破坏程度严重，废石堆放场、</w:t>
      </w:r>
      <w:r>
        <w:rPr>
          <w:rFonts w:hint="eastAsia" w:ascii="宋体" w:hAnsi="宋体" w:eastAsia="宋体" w:cs="仿宋_GB2312"/>
          <w:color w:val="auto"/>
          <w:sz w:val="28"/>
          <w:szCs w:val="28"/>
          <w:highlight w:val="none"/>
          <w:lang w:val="en-US" w:eastAsia="zh-CN" w:bidi="ar-SA"/>
        </w:rPr>
        <w:t>工业广场、</w:t>
      </w:r>
      <w:r>
        <w:rPr>
          <w:rFonts w:hint="eastAsia" w:ascii="宋体" w:hAnsi="宋体" w:eastAsia="宋体" w:cs="仿宋_GB2312"/>
          <w:color w:val="auto"/>
          <w:sz w:val="28"/>
          <w:szCs w:val="28"/>
          <w:highlight w:val="none"/>
          <w:lang w:eastAsia="zh-CN" w:bidi="ar-SA"/>
        </w:rPr>
        <w:t>生活区及矿区道路对地形地貌景观影响和破坏程度较严重，其他设施场地对地形地貌景观影响和破坏程度较轻；对水土环境污染程度较轻，对大气污染程度较轻。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仿宋_GB2312"/>
          <w:color w:val="auto"/>
          <w:sz w:val="28"/>
          <w:szCs w:val="28"/>
          <w:lang w:eastAsia="zh-CN" w:bidi="ar-SA"/>
        </w:rPr>
      </w:pPr>
      <w:r>
        <w:rPr>
          <w:rFonts w:hint="eastAsia" w:ascii="宋体" w:hAnsi="宋体" w:eastAsia="宋体" w:cs="仿宋_GB2312"/>
          <w:color w:val="auto"/>
          <w:sz w:val="28"/>
          <w:szCs w:val="28"/>
          <w:highlight w:val="none"/>
          <w:lang w:eastAsia="zh-CN" w:bidi="ar-SA"/>
        </w:rPr>
        <w:t>划分了矿山地质环境保护与治理恢复重点区、次重点区和一般区。其中规划采露天采矿场为重点区，面积11.08公顷，生活办公区、工业广场、废石堆放场和矿山道路区域为次重点防治区，</w:t>
      </w:r>
      <w:r>
        <w:rPr>
          <w:rFonts w:hint="eastAsia" w:ascii="宋体" w:hAnsi="宋体" w:eastAsia="宋体" w:cs="仿宋_GB2312"/>
          <w:color w:val="auto"/>
          <w:sz w:val="28"/>
          <w:szCs w:val="28"/>
          <w:highlight w:val="none"/>
          <w:lang w:val="en-US" w:eastAsia="zh-CN" w:bidi="ar-SA"/>
        </w:rPr>
        <w:t>面积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2.45公顷</w:t>
      </w:r>
      <w:r>
        <w:rPr>
          <w:rFonts w:hint="eastAsia" w:ascii="宋体" w:hAnsi="宋体" w:eastAsia="宋体" w:cs="仿宋_GB2312"/>
          <w:color w:val="auto"/>
          <w:sz w:val="28"/>
          <w:szCs w:val="28"/>
          <w:highlight w:val="none"/>
          <w:lang w:eastAsia="zh-CN" w:bidi="ar-SA"/>
        </w:rPr>
        <w:t>，其他区域为一般防治区，面积12.15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</w:pP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预测本矿山破坏土地总面积为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13.53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公顷，计划进行复垦面积为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13.53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公顷，土地复垦率为100％。土地复垦方向为尽量恢复原有地貌景观或与周边地形地貌相协调，复垦方向为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裸石砾地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</w:pP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分别针对崩塌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等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地质灾害和地形地貌景观采取相对应的保护与防治措施；对崩塌灾害采取设置围栏、警示牌及清理危岩等治理措施，对采矿场进行回填等复垦措施；建立矿山地质环境监测系统，开展地质灾害、地形地貌景观以及土地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损毁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监测。</w:t>
      </w:r>
    </w:p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</w:pP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方案服务年限内，矿山服务年限内，矿山地质环境治理工程总费用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13.90万元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，土地复垦工程总费用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136.09万元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，矿山地质环境治理工程和土地复垦工程静态总投资为149.99万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元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。其中工程施工费为117.58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万元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，监测费为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8.25万元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，其他费用为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17.02万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元，预备费为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7.14万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元。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存在问题及建议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0"/>
        <w:rPr>
          <w:rFonts w:hint="default" w:ascii="宋体" w:hAnsi="宋体" w:eastAsia="宋体" w:cs="仿宋_GB2312"/>
          <w:b/>
          <w:bCs/>
          <w:color w:val="auto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仿宋_GB2312"/>
          <w:b/>
          <w:bCs/>
          <w:color w:val="auto"/>
          <w:sz w:val="28"/>
          <w:szCs w:val="28"/>
          <w:lang w:val="en-US" w:eastAsia="zh-CN" w:bidi="ar-SA"/>
        </w:rPr>
        <w:t>（一）地环部分意见</w:t>
      </w:r>
    </w:p>
    <w:bookmarkEnd w:id="6"/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  <w:t>方案目录简化至二级目录即可，任务由来内容放在最前面，不应涵盖在编制目的中；编制目的中补充为自然资源管理部门监督、检查和督促矿山企业落实矿山地质环境保护、土地复垦及水土污染与大气污染防治责任与义务的重要依据的内容；补充编制任务。方案适用年限应根据实际送审时间进行调整；项目组主要人员分工表与信息表内成员不一致；工作方法中出现“中交路桥建设有限公司”应核实；图0-1工作程序框图应与规范中保持一致；文中出现“焉耆县自然资源局”应核实；野外调查中利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en-US" w:bidi="en-US"/>
        </w:rPr>
        <w:t>Google卫星地图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  <w:t>说法不妥，改为高清影像地图；表0-3生态功能区划分有误；野外调查范围中一般调查区包含历史采坑为蓄水防洪工程，前文说明该采坑要纳入地质环境治理工程，相互矛盾应核实。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  <w:t>第一章交通位置图裁图范围过大，需要反应文字中反应的位置和交通情况，补充矿区范围示意图，图1-2中采空区标注不准确。地形地貌中缺少对已有采坑的描述；地层岩性中对于深度未知、水位未知等论述不合适，核实地层时代及成因；图1-5看不清，需要调整；地震内容应并入地质构造部分；水文地质内容应当论述地下水内容，包含地下水类型、补径排条件等；工程地质中将土体论述为岩组有误，结构松散论述不妥，对该土体工程地质论述内容不够，缺少级配、承载力特征值等内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  <w:t>第四章矿山地质环境治理中；地质灾害防治中论述主要地质灾害为崩塌，但第三章论述崩塌灾害危险性均为小，存在矛盾，应核实；地形地貌景观监测不应设置监测点，按次进行全区域监测即可。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0"/>
        <w:rPr>
          <w:rFonts w:hint="default" w:ascii="宋体" w:hAnsi="宋体" w:eastAsia="宋体" w:cs="仿宋_GB2312"/>
          <w:b/>
          <w:bCs/>
          <w:color w:val="auto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仿宋_GB2312"/>
          <w:b/>
          <w:bCs/>
          <w:color w:val="auto"/>
          <w:sz w:val="28"/>
          <w:szCs w:val="28"/>
          <w:lang w:val="en-US" w:eastAsia="zh-CN" w:bidi="ar-SA"/>
        </w:rPr>
        <w:t>（二）开发部分意见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1）最终境界图绘制错误，采场边坡绘制错误，采场道路坡度与采场地形矛盾，回采的采场境界与周边地形标高矛盾。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2）矿区开采范围内，地形坡度较大，按自然地形形成采场最终境界底部坡度较大，开采设备，运输设备在坡面上作业存在风险，应说明开采作业平台的坡度要求。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3）凹陷采场无法自流排水，防治水方案中应说明机械排水的设备。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4）采场剖面图中，采场最终境界台阶坡面角绘制错误。采场最终境界边坡角45°计算错误。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5）筛分工艺中，缺少供水设施和设备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6）供电变压器2500kva容量明显过大，超过企业用电负荷需要。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7）编制依据中的《采矿设计手册》不属于规范规程，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《工业企业总平面设计规范》（GB50187～1993）,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《金属非金属矿山安全规程》（GB16423～2006）等版本日期错误。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0"/>
        <w:rPr>
          <w:rFonts w:hint="default" w:ascii="宋体" w:hAnsi="宋体" w:eastAsia="宋体" w:cs="仿宋_GB2312"/>
          <w:b/>
          <w:bCs/>
          <w:color w:val="auto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仿宋_GB2312"/>
          <w:b/>
          <w:bCs/>
          <w:color w:val="auto"/>
          <w:sz w:val="28"/>
          <w:szCs w:val="28"/>
          <w:lang w:val="en-US" w:eastAsia="zh-CN" w:bidi="ar-SA"/>
        </w:rPr>
        <w:t>（三）复垦部分意见</w:t>
      </w:r>
    </w:p>
    <w:p>
      <w:pPr>
        <w:pStyle w:val="3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560" w:firstLineChars="200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  <w:t>1）矿产资源开发利用章节补充固体废弃物排放处置内容，明确各年度产生废石量、废石总量以及堆存参数（如：堆高、边坡坡度等），并列表说明；补充说明生活垃圾处置情况；</w:t>
      </w:r>
    </w:p>
    <w:p>
      <w:pPr>
        <w:pStyle w:val="3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560" w:firstLineChars="200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  <w:t>2）拟损毁土地预测介绍不清晰，结合各工程损毁土地特点，补充说明各工程最终形态参数（如：建筑物类型及建筑面积、地面硬化厚度及面积、采场闭坑后形成的负地形凹陷区域体积等）；</w:t>
      </w:r>
    </w:p>
    <w:p>
      <w:pPr>
        <w:pStyle w:val="3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560" w:firstLineChars="200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  <w:t>3）土地复垦质量要求章节部分工程复垦标准制定不合理，露天采场应明确复垦后形态参数（如：废石回填采坑后坑底标高、复垦后采坑边坡角度等）；生活区垃圾至指定垃圾填埋场，须明确垃圾填埋场位置，依据环保要求，矿山不允许建设垃圾填埋场；废石场“最大堆放高度不超过3米，堆放边坡不大于45°”不是复垦标准；须认真核实复垦标准合理性；</w:t>
      </w:r>
    </w:p>
    <w:p>
      <w:pPr>
        <w:pStyle w:val="3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560" w:firstLineChars="200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  <w:t>4）复垦设计章节建议按照各工程分别进行复垦设计，并明确设计参数，废石内排工程量，不应计入本方案，只有废石堆放场堆放废石回填采坑工程量计入本方案计算；P34叙述“生活区建筑物面积约100平方米”，在P56拟损毁土地预测未介绍任何参数，P80叙述“拆除范围包括生活区的地面建筑及地表硬化层，拆除面积1500平方米”，数据缺乏依据，且不清楚计算过程；各工程复垦叙述“每平方米拆除地表建筑垃圾0.5立方米计算”，须补充说明确定的依据；核实“废石回填采场运距200-300米”准确性；补充露天采场复垦设计剖面图；各工程复垦设计与前文章节说法不一致，且与复垦标准矛盾，须认真核实复垦措施合理性和工程量计算准确性；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五、审查结论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报告章节安排基本合理，内容基本齐全，基本符合新自然资规〔2021〕3号文《关于进一步推进和完善矿产资源管理有关工作的通知》及原国土资源部国土资规〔2016〕21号文、新国土资规〔2018〕1号文的相关要求。报告分析论证有据，结论正确，措施可行，可作为该矿矿产资源开发利用与生态保护修复的依据，同意审查通过。</w:t>
      </w:r>
    </w:p>
    <w:p>
      <w:pPr>
        <w:pStyle w:val="18"/>
        <w:spacing w:line="500" w:lineRule="exact"/>
        <w:ind w:firstLine="6626" w:firstLineChars="2200"/>
        <w:jc w:val="both"/>
        <w:rPr>
          <w:rFonts w:hint="eastAsia"/>
          <w:sz w:val="28"/>
          <w:szCs w:val="28"/>
          <w:lang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159385</wp:posOffset>
            </wp:positionV>
            <wp:extent cx="1151255" cy="651510"/>
            <wp:effectExtent l="0" t="0" r="0" b="0"/>
            <wp:wrapTight wrapText="bothSides">
              <wp:wrapPolygon>
                <wp:start x="0" y="0"/>
                <wp:lineTo x="0" y="21221"/>
                <wp:lineTo x="21445" y="21221"/>
                <wp:lineTo x="2144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24154" r="27771" b="9166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8"/>
        <w:spacing w:line="500" w:lineRule="exact"/>
        <w:ind w:firstLine="4854" w:firstLineChars="1727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评审专家组长：</w:t>
      </w:r>
    </w:p>
    <w:p>
      <w:pPr>
        <w:pStyle w:val="20"/>
        <w:spacing w:after="40" w:line="500" w:lineRule="exact"/>
        <w:ind w:firstLine="0"/>
        <w:jc w:val="right"/>
        <w:rPr>
          <w:sz w:val="28"/>
          <w:szCs w:val="28"/>
          <w:lang w:eastAsia="zh-CN"/>
        </w:rPr>
      </w:pPr>
    </w:p>
    <w:p>
      <w:pPr>
        <w:jc w:val="center"/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</w:t>
      </w:r>
      <w:r>
        <w:rPr>
          <w:rFonts w:hint="eastAsia"/>
          <w:b/>
          <w:bCs/>
          <w:sz w:val="28"/>
          <w:szCs w:val="28"/>
          <w:lang w:eastAsia="zh-CN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  <w:lang w:eastAsia="zh-CN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  <w:lang w:eastAsia="zh-CN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17</w:t>
      </w:r>
      <w:r>
        <w:rPr>
          <w:rFonts w:hint="eastAsia"/>
          <w:b/>
          <w:bCs/>
          <w:sz w:val="28"/>
          <w:szCs w:val="28"/>
          <w:lang w:eastAsia="zh-CN"/>
        </w:rPr>
        <w:t>日</w:t>
      </w:r>
    </w:p>
    <w:sectPr>
      <w:footerReference r:id="rId5" w:type="default"/>
      <w:pgSz w:w="11900" w:h="16840"/>
      <w:pgMar w:top="1440" w:right="1134" w:bottom="1440" w:left="1134" w:header="964" w:footer="964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485007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A6E684"/>
    <w:multiLevelType w:val="singleLevel"/>
    <w:tmpl w:val="E9A6E68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14EF5D9"/>
    <w:multiLevelType w:val="singleLevel"/>
    <w:tmpl w:val="314EF5D9"/>
    <w:lvl w:ilvl="0" w:tentative="0">
      <w:start w:val="1"/>
      <w:numFmt w:val="decimal"/>
      <w:suff w:val="nothing"/>
      <w:lvlText w:val="%1、"/>
      <w:lvlJc w:val="left"/>
      <w:pPr>
        <w:ind w:left="-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docVars>
    <w:docVar w:name="commondata" w:val="eyJoZGlkIjoiZDQxNjg2NWQzOWI3OGE0NWY4MWRkNWFjNmI3ZGY3ZGMifQ=="/>
    <w:docVar w:name="KSO_WPS_MARK_KEY" w:val="51eb7f18-8599-4891-9c50-a79eda552dec"/>
  </w:docVars>
  <w:rsids>
    <w:rsidRoot w:val="000D55E0"/>
    <w:rsid w:val="00017133"/>
    <w:rsid w:val="00036395"/>
    <w:rsid w:val="000405A0"/>
    <w:rsid w:val="0008114E"/>
    <w:rsid w:val="000A4A63"/>
    <w:rsid w:val="000D55E0"/>
    <w:rsid w:val="00136118"/>
    <w:rsid w:val="00136A08"/>
    <w:rsid w:val="0015228B"/>
    <w:rsid w:val="00167961"/>
    <w:rsid w:val="001C07BA"/>
    <w:rsid w:val="001E7E66"/>
    <w:rsid w:val="002201BE"/>
    <w:rsid w:val="00221E07"/>
    <w:rsid w:val="002966A0"/>
    <w:rsid w:val="002E5AD1"/>
    <w:rsid w:val="00316453"/>
    <w:rsid w:val="00333943"/>
    <w:rsid w:val="00336737"/>
    <w:rsid w:val="00381023"/>
    <w:rsid w:val="003C3BF5"/>
    <w:rsid w:val="004202A9"/>
    <w:rsid w:val="00450995"/>
    <w:rsid w:val="00461862"/>
    <w:rsid w:val="004758A9"/>
    <w:rsid w:val="0048282F"/>
    <w:rsid w:val="004A4D07"/>
    <w:rsid w:val="004B3B70"/>
    <w:rsid w:val="004C480A"/>
    <w:rsid w:val="004F5091"/>
    <w:rsid w:val="00595506"/>
    <w:rsid w:val="005B33EB"/>
    <w:rsid w:val="005B4453"/>
    <w:rsid w:val="005C2147"/>
    <w:rsid w:val="006154F0"/>
    <w:rsid w:val="006220EA"/>
    <w:rsid w:val="00625DBD"/>
    <w:rsid w:val="00661A41"/>
    <w:rsid w:val="0066407D"/>
    <w:rsid w:val="006A06FC"/>
    <w:rsid w:val="00706F68"/>
    <w:rsid w:val="00735FC6"/>
    <w:rsid w:val="00764B78"/>
    <w:rsid w:val="00795BA8"/>
    <w:rsid w:val="007D2C8E"/>
    <w:rsid w:val="008005B2"/>
    <w:rsid w:val="0080324D"/>
    <w:rsid w:val="00832279"/>
    <w:rsid w:val="008D18AC"/>
    <w:rsid w:val="00923233"/>
    <w:rsid w:val="00953505"/>
    <w:rsid w:val="00A03353"/>
    <w:rsid w:val="00A07DA0"/>
    <w:rsid w:val="00B67129"/>
    <w:rsid w:val="00B70396"/>
    <w:rsid w:val="00B778F6"/>
    <w:rsid w:val="00BA6FE8"/>
    <w:rsid w:val="00BB2496"/>
    <w:rsid w:val="00BB6359"/>
    <w:rsid w:val="00BB6F51"/>
    <w:rsid w:val="00BF2521"/>
    <w:rsid w:val="00C76BE2"/>
    <w:rsid w:val="00C944C9"/>
    <w:rsid w:val="00CA5415"/>
    <w:rsid w:val="00CC390A"/>
    <w:rsid w:val="00D21D30"/>
    <w:rsid w:val="00D93FEB"/>
    <w:rsid w:val="00DC740F"/>
    <w:rsid w:val="00DC7F94"/>
    <w:rsid w:val="00DF5B8B"/>
    <w:rsid w:val="00E12A76"/>
    <w:rsid w:val="00E720C5"/>
    <w:rsid w:val="00E729D2"/>
    <w:rsid w:val="00EE2974"/>
    <w:rsid w:val="00F45643"/>
    <w:rsid w:val="00FD7ED5"/>
    <w:rsid w:val="028E2CE7"/>
    <w:rsid w:val="02C42AAA"/>
    <w:rsid w:val="02D702F3"/>
    <w:rsid w:val="05C3315A"/>
    <w:rsid w:val="05C77FC6"/>
    <w:rsid w:val="06B377D6"/>
    <w:rsid w:val="06D93994"/>
    <w:rsid w:val="074A5719"/>
    <w:rsid w:val="07E6135B"/>
    <w:rsid w:val="093B4F24"/>
    <w:rsid w:val="0AE6250F"/>
    <w:rsid w:val="0B077894"/>
    <w:rsid w:val="0BEF4CA9"/>
    <w:rsid w:val="0C2939BD"/>
    <w:rsid w:val="0C5A0B8A"/>
    <w:rsid w:val="0CFE7C2F"/>
    <w:rsid w:val="0FB63774"/>
    <w:rsid w:val="10246EEB"/>
    <w:rsid w:val="16F01850"/>
    <w:rsid w:val="1A295685"/>
    <w:rsid w:val="1B422EA2"/>
    <w:rsid w:val="1CB22960"/>
    <w:rsid w:val="1DCE078B"/>
    <w:rsid w:val="1F6372C0"/>
    <w:rsid w:val="22D20780"/>
    <w:rsid w:val="23583E1D"/>
    <w:rsid w:val="262624A4"/>
    <w:rsid w:val="26334A71"/>
    <w:rsid w:val="27566723"/>
    <w:rsid w:val="28F04E1F"/>
    <w:rsid w:val="29443602"/>
    <w:rsid w:val="29E256BB"/>
    <w:rsid w:val="2C027343"/>
    <w:rsid w:val="2FEF6776"/>
    <w:rsid w:val="30106700"/>
    <w:rsid w:val="3305425E"/>
    <w:rsid w:val="34CE1A14"/>
    <w:rsid w:val="35855245"/>
    <w:rsid w:val="35996214"/>
    <w:rsid w:val="359A67FC"/>
    <w:rsid w:val="375017D4"/>
    <w:rsid w:val="3B893D24"/>
    <w:rsid w:val="3C4803EE"/>
    <w:rsid w:val="3DBF00CF"/>
    <w:rsid w:val="4093779A"/>
    <w:rsid w:val="40C96B6F"/>
    <w:rsid w:val="40D542D2"/>
    <w:rsid w:val="413E71FC"/>
    <w:rsid w:val="420B2676"/>
    <w:rsid w:val="42EA7B00"/>
    <w:rsid w:val="42EA7E96"/>
    <w:rsid w:val="42F02AB8"/>
    <w:rsid w:val="43B12268"/>
    <w:rsid w:val="443D2BA6"/>
    <w:rsid w:val="444E5D09"/>
    <w:rsid w:val="467263F7"/>
    <w:rsid w:val="46A936CA"/>
    <w:rsid w:val="48DF2A67"/>
    <w:rsid w:val="49EC6171"/>
    <w:rsid w:val="4A605D3D"/>
    <w:rsid w:val="4ABB3662"/>
    <w:rsid w:val="507860D2"/>
    <w:rsid w:val="508E6FA2"/>
    <w:rsid w:val="50BA20AD"/>
    <w:rsid w:val="530370B5"/>
    <w:rsid w:val="53B4535C"/>
    <w:rsid w:val="56676BAC"/>
    <w:rsid w:val="582F1AA6"/>
    <w:rsid w:val="58405319"/>
    <w:rsid w:val="584114D5"/>
    <w:rsid w:val="587E1AEC"/>
    <w:rsid w:val="58C50581"/>
    <w:rsid w:val="59394C36"/>
    <w:rsid w:val="593E5662"/>
    <w:rsid w:val="5B0A6877"/>
    <w:rsid w:val="5B4C460E"/>
    <w:rsid w:val="607628A1"/>
    <w:rsid w:val="611B3D67"/>
    <w:rsid w:val="616C5E66"/>
    <w:rsid w:val="647E3182"/>
    <w:rsid w:val="64DE0C23"/>
    <w:rsid w:val="64F57D59"/>
    <w:rsid w:val="6751773B"/>
    <w:rsid w:val="67997F67"/>
    <w:rsid w:val="67D34300"/>
    <w:rsid w:val="682F3361"/>
    <w:rsid w:val="6C1224B5"/>
    <w:rsid w:val="6E331948"/>
    <w:rsid w:val="6EE35558"/>
    <w:rsid w:val="703F45D4"/>
    <w:rsid w:val="7209672D"/>
    <w:rsid w:val="721225F4"/>
    <w:rsid w:val="721A055A"/>
    <w:rsid w:val="722443FB"/>
    <w:rsid w:val="731F5122"/>
    <w:rsid w:val="75C86589"/>
    <w:rsid w:val="7A1F5658"/>
    <w:rsid w:val="7D8B70AB"/>
    <w:rsid w:val="7E6B4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qFormat="1" w:unhideWhenUsed="0" w:uiPriority="0" w:semiHidden="0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1"/>
    <w:qFormat/>
    <w:uiPriority w:val="0"/>
    <w:pPr>
      <w:spacing w:after="120"/>
      <w:jc w:val="both"/>
    </w:pPr>
    <w:rPr>
      <w:rFonts w:ascii="Times New Roman" w:hAnsi="Times New Roman" w:eastAsia="宋体" w:cs="Times New Roman"/>
      <w:color w:val="auto"/>
      <w:kern w:val="2"/>
      <w:sz w:val="21"/>
      <w:lang w:eastAsia="zh-CN" w:bidi="ar-SA"/>
    </w:rPr>
  </w:style>
  <w:style w:type="paragraph" w:styleId="3">
    <w:name w:val="Document Map"/>
    <w:basedOn w:val="1"/>
    <w:link w:val="3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 Indent"/>
    <w:basedOn w:val="1"/>
    <w:next w:val="1"/>
    <w:qFormat/>
    <w:uiPriority w:val="0"/>
    <w:pPr>
      <w:widowControl w:val="0"/>
      <w:spacing w:after="0" w:line="500" w:lineRule="exact"/>
      <w:ind w:firstLine="42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paragraph" w:styleId="5">
    <w:name w:val="Plain Text"/>
    <w:basedOn w:val="1"/>
    <w:link w:val="32"/>
    <w:qFormat/>
    <w:uiPriority w:val="0"/>
    <w:pPr>
      <w:jc w:val="both"/>
    </w:pPr>
    <w:rPr>
      <w:rFonts w:ascii="宋体" w:hAnsi="Courier New" w:eastAsia="宋体" w:cs="Courier New"/>
      <w:color w:val="auto"/>
      <w:kern w:val="2"/>
      <w:sz w:val="21"/>
      <w:szCs w:val="21"/>
      <w:lang w:eastAsia="zh-CN" w:bidi="ar-SA"/>
    </w:rPr>
  </w:style>
  <w:style w:type="paragraph" w:styleId="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Continue 4"/>
    <w:basedOn w:val="1"/>
    <w:next w:val="1"/>
    <w:qFormat/>
    <w:uiPriority w:val="0"/>
    <w:pPr>
      <w:widowControl w:val="0"/>
      <w:autoSpaceDE/>
      <w:autoSpaceDN/>
      <w:spacing w:before="0" w:after="120" w:line="360" w:lineRule="auto"/>
      <w:ind w:left="0" w:firstLine="480"/>
      <w:jc w:val="center"/>
    </w:pPr>
    <w:rPr>
      <w:rFonts w:ascii="宋体" w:hAnsi="宋体" w:eastAsia="宋体"/>
    </w:rPr>
  </w:style>
  <w:style w:type="paragraph" w:styleId="9">
    <w:name w:val="Body Text 2"/>
    <w:basedOn w:val="1"/>
    <w:qFormat/>
    <w:uiPriority w:val="0"/>
    <w:pPr>
      <w:widowControl w:val="0"/>
      <w:spacing w:after="120" w:line="480" w:lineRule="auto"/>
      <w:ind w:firstLine="0"/>
      <w:jc w:val="both"/>
    </w:pPr>
    <w:rPr>
      <w:sz w:val="20"/>
      <w:szCs w:val="24"/>
      <w:lang w:bidi="ar-SA"/>
    </w:rPr>
  </w:style>
  <w:style w:type="paragraph" w:styleId="10">
    <w:name w:val="Body Text First Indent 2"/>
    <w:basedOn w:val="4"/>
    <w:next w:val="8"/>
    <w:qFormat/>
    <w:uiPriority w:val="0"/>
    <w:pPr>
      <w:spacing w:after="120" w:line="360" w:lineRule="auto"/>
      <w:ind w:left="420" w:leftChars="200"/>
    </w:p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！正文"/>
    <w:basedOn w:val="1"/>
    <w:qFormat/>
    <w:uiPriority w:val="0"/>
    <w:rPr>
      <w:kern w:val="0"/>
    </w:rPr>
  </w:style>
  <w:style w:type="character" w:customStyle="1" w:styleId="15">
    <w:name w:val="标题 #1_"/>
    <w:basedOn w:val="13"/>
    <w:link w:val="16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</w:rPr>
  </w:style>
  <w:style w:type="paragraph" w:customStyle="1" w:styleId="16">
    <w:name w:val="标题 #1"/>
    <w:basedOn w:val="1"/>
    <w:link w:val="15"/>
    <w:qFormat/>
    <w:uiPriority w:val="0"/>
    <w:pPr>
      <w:spacing w:after="80" w:line="552" w:lineRule="exact"/>
      <w:ind w:left="260"/>
      <w:outlineLvl w:val="0"/>
    </w:pPr>
    <w:rPr>
      <w:rFonts w:ascii="宋体" w:hAnsi="宋体" w:eastAsia="宋体" w:cs="宋体"/>
      <w:sz w:val="36"/>
      <w:szCs w:val="36"/>
    </w:rPr>
  </w:style>
  <w:style w:type="character" w:customStyle="1" w:styleId="17">
    <w:name w:val="正文文本 (2)_"/>
    <w:basedOn w:val="13"/>
    <w:link w:val="18"/>
    <w:qFormat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</w:rPr>
  </w:style>
  <w:style w:type="paragraph" w:customStyle="1" w:styleId="18">
    <w:name w:val="正文文本 (2)"/>
    <w:basedOn w:val="1"/>
    <w:link w:val="17"/>
    <w:qFormat/>
    <w:uiPriority w:val="0"/>
    <w:pPr>
      <w:spacing w:line="452" w:lineRule="exact"/>
      <w:ind w:firstLine="550"/>
    </w:pPr>
    <w:rPr>
      <w:rFonts w:ascii="宋体" w:hAnsi="宋体" w:eastAsia="宋体" w:cs="宋体"/>
      <w:b/>
      <w:bCs/>
      <w:sz w:val="30"/>
      <w:szCs w:val="30"/>
    </w:rPr>
  </w:style>
  <w:style w:type="character" w:customStyle="1" w:styleId="19">
    <w:name w:val="正文文本_"/>
    <w:basedOn w:val="13"/>
    <w:link w:val="20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20">
    <w:name w:val="正文文本1"/>
    <w:basedOn w:val="1"/>
    <w:link w:val="19"/>
    <w:qFormat/>
    <w:uiPriority w:val="0"/>
    <w:pPr>
      <w:spacing w:line="377" w:lineRule="auto"/>
      <w:ind w:firstLine="400"/>
    </w:pPr>
    <w:rPr>
      <w:rFonts w:ascii="宋体" w:hAnsi="宋体" w:eastAsia="宋体" w:cs="宋体"/>
      <w:sz w:val="26"/>
      <w:szCs w:val="26"/>
    </w:rPr>
  </w:style>
  <w:style w:type="character" w:customStyle="1" w:styleId="21">
    <w:name w:val="正文文本 (3)_"/>
    <w:basedOn w:val="13"/>
    <w:link w:val="22"/>
    <w:qFormat/>
    <w:uiPriority w:val="0"/>
    <w:rPr>
      <w:rFonts w:ascii="Arial" w:hAnsi="Arial" w:eastAsia="Arial" w:cs="Arial"/>
      <w:i/>
      <w:iCs/>
      <w:sz w:val="8"/>
      <w:szCs w:val="8"/>
      <w:u w:val="none"/>
      <w:shd w:val="clear" w:color="auto" w:fill="auto"/>
    </w:rPr>
  </w:style>
  <w:style w:type="paragraph" w:customStyle="1" w:styleId="22">
    <w:name w:val="正文文本 (3)"/>
    <w:basedOn w:val="1"/>
    <w:link w:val="21"/>
    <w:qFormat/>
    <w:uiPriority w:val="0"/>
    <w:pPr>
      <w:spacing w:after="100"/>
      <w:ind w:left="1080"/>
    </w:pPr>
    <w:rPr>
      <w:rFonts w:ascii="Arial" w:hAnsi="Arial" w:eastAsia="Arial" w:cs="Arial"/>
      <w:i/>
      <w:iCs/>
      <w:sz w:val="8"/>
      <w:szCs w:val="8"/>
    </w:rPr>
  </w:style>
  <w:style w:type="character" w:customStyle="1" w:styleId="23">
    <w:name w:val="表格标题_"/>
    <w:basedOn w:val="13"/>
    <w:link w:val="24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</w:rPr>
  </w:style>
  <w:style w:type="paragraph" w:customStyle="1" w:styleId="24">
    <w:name w:val="表格标题"/>
    <w:basedOn w:val="1"/>
    <w:link w:val="23"/>
    <w:qFormat/>
    <w:uiPriority w:val="0"/>
    <w:pPr>
      <w:spacing w:line="658" w:lineRule="exact"/>
      <w:jc w:val="center"/>
    </w:pPr>
    <w:rPr>
      <w:rFonts w:ascii="宋体" w:hAnsi="宋体" w:eastAsia="宋体" w:cs="宋体"/>
      <w:sz w:val="32"/>
      <w:szCs w:val="32"/>
    </w:rPr>
  </w:style>
  <w:style w:type="character" w:customStyle="1" w:styleId="25">
    <w:name w:val="其他_"/>
    <w:basedOn w:val="13"/>
    <w:link w:val="26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26">
    <w:name w:val="其他"/>
    <w:basedOn w:val="1"/>
    <w:link w:val="25"/>
    <w:qFormat/>
    <w:uiPriority w:val="0"/>
    <w:pPr>
      <w:spacing w:line="377" w:lineRule="auto"/>
      <w:ind w:firstLine="400"/>
    </w:pPr>
    <w:rPr>
      <w:rFonts w:ascii="宋体" w:hAnsi="宋体" w:eastAsia="宋体" w:cs="宋体"/>
      <w:sz w:val="26"/>
      <w:szCs w:val="26"/>
    </w:rPr>
  </w:style>
  <w:style w:type="character" w:customStyle="1" w:styleId="27">
    <w:name w:val="页眉 字符"/>
    <w:basedOn w:val="13"/>
    <w:link w:val="7"/>
    <w:qFormat/>
    <w:uiPriority w:val="99"/>
    <w:rPr>
      <w:color w:val="000000"/>
      <w:sz w:val="18"/>
      <w:szCs w:val="18"/>
    </w:rPr>
  </w:style>
  <w:style w:type="character" w:customStyle="1" w:styleId="28">
    <w:name w:val="页脚 字符"/>
    <w:basedOn w:val="13"/>
    <w:link w:val="6"/>
    <w:qFormat/>
    <w:uiPriority w:val="99"/>
    <w:rPr>
      <w:color w:val="000000"/>
      <w:sz w:val="18"/>
      <w:szCs w:val="18"/>
    </w:rPr>
  </w:style>
  <w:style w:type="paragraph" w:customStyle="1" w:styleId="29">
    <w:name w:val="Char Char Char Char"/>
    <w:basedOn w:val="1"/>
    <w:qFormat/>
    <w:uiPriority w:val="0"/>
    <w:pPr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eastAsia="zh-CN" w:bidi="ar-SA"/>
    </w:rPr>
  </w:style>
  <w:style w:type="character" w:customStyle="1" w:styleId="30">
    <w:name w:val="文档结构图 字符"/>
    <w:basedOn w:val="13"/>
    <w:link w:val="3"/>
    <w:semiHidden/>
    <w:qFormat/>
    <w:uiPriority w:val="99"/>
    <w:rPr>
      <w:rFonts w:ascii="宋体" w:eastAsia="宋体"/>
      <w:color w:val="000000"/>
      <w:sz w:val="18"/>
      <w:szCs w:val="18"/>
      <w:lang w:eastAsia="en-US" w:bidi="en-US"/>
    </w:rPr>
  </w:style>
  <w:style w:type="character" w:customStyle="1" w:styleId="31">
    <w:name w:val="正文文本 字符"/>
    <w:basedOn w:val="13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2">
    <w:name w:val="纯文本 字符"/>
    <w:basedOn w:val="13"/>
    <w:link w:val="5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paragraph" w:styleId="33">
    <w:name w:val="List Paragraph"/>
    <w:basedOn w:val="1"/>
    <w:qFormat/>
    <w:uiPriority w:val="0"/>
    <w:pPr>
      <w:widowControl w:val="0"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4124</Words>
  <Characters>4598</Characters>
  <Lines>26</Lines>
  <Paragraphs>7</Paragraphs>
  <TotalTime>0</TotalTime>
  <ScaleCrop>false</ScaleCrop>
  <LinksUpToDate>false</LinksUpToDate>
  <CharactersWithSpaces>4850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2022-01-24T08:47:00Z</dcterms:created>
  <dc:creator>Administrator</dc:creator>
  <cp:lastModifiedBy>百合花</cp:lastModifiedBy>
  <dcterms:modified xsi:type="dcterms:W3CDTF">2023-01-17T15:45:58Z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F49EEFB9934D40ADB393511B7B3F931A</vt:lpwstr>
  </property>
</Properties>
</file>